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D21E" w14:textId="77777777" w:rsidR="00485C6E" w:rsidRPr="00AC5C21" w:rsidRDefault="00485C6E" w:rsidP="00617400">
      <w:pPr>
        <w:jc w:val="both"/>
        <w:rPr>
          <w:rFonts w:asciiTheme="minorHAnsi" w:hAnsiTheme="minorHAnsi"/>
          <w:vertAlign w:val="superscript"/>
        </w:rPr>
      </w:pPr>
    </w:p>
    <w:p w14:paraId="67AA8C68" w14:textId="5FB963D8" w:rsidR="00485C6E" w:rsidRPr="00AC5C21" w:rsidRDefault="00485C6E" w:rsidP="00617400">
      <w:pPr>
        <w:jc w:val="both"/>
        <w:rPr>
          <w:rFonts w:asciiTheme="minorHAnsi" w:hAnsiTheme="minorHAnsi" w:cstheme="minorHAnsi"/>
          <w:b/>
          <w:bCs/>
          <w:sz w:val="25"/>
          <w:szCs w:val="25"/>
          <w:vertAlign w:val="superscript"/>
        </w:rPr>
      </w:pPr>
      <w:r w:rsidRPr="00AC5C21">
        <w:rPr>
          <w:rFonts w:asciiTheme="minorHAnsi" w:hAnsiTheme="minorHAnsi" w:cstheme="minorHAnsi"/>
          <w:b/>
          <w:bCs/>
          <w:sz w:val="25"/>
          <w:szCs w:val="25"/>
          <w:vertAlign w:val="superscript"/>
        </w:rPr>
        <w:t xml:space="preserve">TISKOVÁ ZPRÁVA TI </w:t>
      </w:r>
    </w:p>
    <w:p w14:paraId="78AA88BA" w14:textId="20435E13" w:rsidR="00BA5177" w:rsidRDefault="00412E76" w:rsidP="00617400">
      <w:pPr>
        <w:jc w:val="both"/>
        <w:rPr>
          <w:rFonts w:asciiTheme="minorHAnsi" w:hAnsiTheme="minorHAnsi"/>
          <w:b/>
          <w:color w:val="0070C0"/>
          <w:sz w:val="36"/>
          <w:szCs w:val="36"/>
        </w:rPr>
      </w:pPr>
      <w:r>
        <w:rPr>
          <w:rFonts w:asciiTheme="minorHAnsi" w:hAnsiTheme="minorHAnsi"/>
          <w:b/>
          <w:color w:val="0070C0"/>
          <w:sz w:val="36"/>
          <w:szCs w:val="36"/>
        </w:rPr>
        <w:t>Česko</w:t>
      </w:r>
      <w:r w:rsidR="00D423A9">
        <w:rPr>
          <w:rFonts w:asciiTheme="minorHAnsi" w:hAnsiTheme="minorHAnsi"/>
          <w:b/>
          <w:color w:val="0070C0"/>
          <w:sz w:val="36"/>
          <w:szCs w:val="36"/>
        </w:rPr>
        <w:t xml:space="preserve"> se </w:t>
      </w:r>
      <w:r>
        <w:rPr>
          <w:rFonts w:asciiTheme="minorHAnsi" w:hAnsiTheme="minorHAnsi"/>
          <w:b/>
          <w:color w:val="0070C0"/>
          <w:sz w:val="36"/>
          <w:szCs w:val="36"/>
        </w:rPr>
        <w:t xml:space="preserve">díky prorůstající privatizaci veřejného zájmu propadá </w:t>
      </w:r>
      <w:r w:rsidR="00D423A9">
        <w:rPr>
          <w:rFonts w:asciiTheme="minorHAnsi" w:hAnsiTheme="minorHAnsi"/>
          <w:b/>
          <w:color w:val="0070C0"/>
          <w:sz w:val="36"/>
          <w:szCs w:val="36"/>
        </w:rPr>
        <w:t>v Indexu vnímání korupce 2020. Průměr EU se nám</w:t>
      </w:r>
      <w:r>
        <w:rPr>
          <w:rFonts w:asciiTheme="minorHAnsi" w:hAnsiTheme="minorHAnsi"/>
          <w:b/>
          <w:color w:val="0070C0"/>
          <w:sz w:val="36"/>
          <w:szCs w:val="36"/>
        </w:rPr>
        <w:t xml:space="preserve"> </w:t>
      </w:r>
      <w:r w:rsidR="00D423A9">
        <w:rPr>
          <w:rFonts w:asciiTheme="minorHAnsi" w:hAnsiTheme="minorHAnsi"/>
          <w:b/>
          <w:color w:val="0070C0"/>
          <w:sz w:val="36"/>
          <w:szCs w:val="36"/>
        </w:rPr>
        <w:t>vzdaluje</w:t>
      </w:r>
    </w:p>
    <w:p w14:paraId="537CB23A" w14:textId="475BE6FD" w:rsidR="00982599" w:rsidRDefault="00DF1950" w:rsidP="00617400">
      <w:pPr>
        <w:jc w:val="both"/>
        <w:rPr>
          <w:rFonts w:asciiTheme="minorHAnsi" w:hAnsiTheme="minorHAnsi"/>
          <w:b/>
          <w:color w:val="0070C0"/>
          <w:sz w:val="36"/>
          <w:szCs w:val="36"/>
        </w:rPr>
      </w:pPr>
      <w:r>
        <w:rPr>
          <w:rFonts w:asciiTheme="minorHAnsi" w:hAnsiTheme="minorHAnsi"/>
          <w:b/>
          <w:noProof/>
          <w:color w:val="0070C0"/>
          <w:sz w:val="36"/>
          <w:szCs w:val="36"/>
        </w:rPr>
        <w:drawing>
          <wp:inline distT="0" distB="0" distL="0" distR="0" wp14:anchorId="4D6F9A8E" wp14:editId="2BB95725">
            <wp:extent cx="5762625" cy="3200400"/>
            <wp:effectExtent l="0" t="0" r="9525" b="0"/>
            <wp:docPr id="3" name="Obráze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200400"/>
                    </a:xfrm>
                    <a:prstGeom prst="rect">
                      <a:avLst/>
                    </a:prstGeom>
                    <a:noFill/>
                    <a:ln>
                      <a:noFill/>
                    </a:ln>
                  </pic:spPr>
                </pic:pic>
              </a:graphicData>
            </a:graphic>
          </wp:inline>
        </w:drawing>
      </w:r>
    </w:p>
    <w:p w14:paraId="13972946" w14:textId="38138DE9" w:rsidR="00AC5C21" w:rsidRPr="00AC5C21" w:rsidRDefault="00D57BD8" w:rsidP="00D57BD8">
      <w:pPr>
        <w:tabs>
          <w:tab w:val="left" w:pos="2430"/>
        </w:tabs>
        <w:jc w:val="both"/>
        <w:rPr>
          <w:rFonts w:asciiTheme="minorHAnsi" w:hAnsiTheme="minorHAnsi"/>
          <w:b/>
          <w:color w:val="0070C0"/>
          <w:sz w:val="32"/>
          <w:szCs w:val="32"/>
        </w:rPr>
      </w:pPr>
      <w:r w:rsidRPr="00D57BD8">
        <w:rPr>
          <w:rFonts w:asciiTheme="minorHAnsi" w:hAnsiTheme="minorHAnsi"/>
          <w:bCs/>
          <w:color w:val="808080" w:themeColor="background1" w:themeShade="80"/>
          <w:vertAlign w:val="superscript"/>
        </w:rPr>
        <w:t>Česká republika v rámci Indexu vnímání korupce 2020</w:t>
      </w:r>
      <w:r w:rsidR="004A1B88">
        <w:rPr>
          <w:rFonts w:asciiTheme="minorHAnsi" w:hAnsiTheme="minorHAnsi"/>
          <w:bCs/>
          <w:color w:val="808080" w:themeColor="background1" w:themeShade="80"/>
          <w:vertAlign w:val="superscript"/>
        </w:rPr>
        <w:t xml:space="preserve"> </w:t>
      </w:r>
      <w:r w:rsidRPr="00D57BD8">
        <w:rPr>
          <w:rFonts w:asciiTheme="minorHAnsi" w:hAnsiTheme="minorHAnsi"/>
          <w:bCs/>
          <w:color w:val="808080" w:themeColor="background1" w:themeShade="80"/>
          <w:vertAlign w:val="superscript"/>
        </w:rPr>
        <w:t>| zdroj: TI</w:t>
      </w:r>
    </w:p>
    <w:p w14:paraId="415398CB" w14:textId="3F0A4A85" w:rsidR="002D2D6F" w:rsidRDefault="00D423A9" w:rsidP="00D423A9">
      <w:pPr>
        <w:jc w:val="both"/>
        <w:textAlignment w:val="baseline"/>
        <w:rPr>
          <w:rFonts w:asciiTheme="minorHAnsi" w:hAnsiTheme="minorHAnsi" w:cstheme="minorHAnsi"/>
          <w:b/>
          <w:bCs/>
          <w:color w:val="808080" w:themeColor="background1" w:themeShade="80"/>
          <w:sz w:val="26"/>
          <w:szCs w:val="26"/>
        </w:rPr>
      </w:pPr>
      <w:r w:rsidRPr="00D423A9">
        <w:rPr>
          <w:rFonts w:asciiTheme="minorHAnsi" w:hAnsiTheme="minorHAnsi" w:cs="Segoe UI"/>
          <w:b/>
          <w:bCs/>
        </w:rPr>
        <w:t>Berlín a Praha, 28. ledna 2021 – Mezinárodní sekretariát Transparency International (TI)</w:t>
      </w:r>
      <w:r>
        <w:rPr>
          <w:rFonts w:asciiTheme="minorHAnsi" w:hAnsiTheme="minorHAnsi" w:cs="Segoe UI"/>
          <w:b/>
          <w:bCs/>
        </w:rPr>
        <w:t xml:space="preserve"> </w:t>
      </w:r>
      <w:r w:rsidRPr="00D423A9">
        <w:rPr>
          <w:rFonts w:asciiTheme="minorHAnsi" w:hAnsiTheme="minorHAnsi" w:cs="Segoe UI"/>
          <w:b/>
          <w:bCs/>
        </w:rPr>
        <w:t>dnes zveřejnil globální „Index vnímání korupce“ za rok 2020 (</w:t>
      </w:r>
      <w:proofErr w:type="spellStart"/>
      <w:r w:rsidRPr="00D423A9">
        <w:rPr>
          <w:rFonts w:asciiTheme="minorHAnsi" w:hAnsiTheme="minorHAnsi" w:cs="Segoe UI"/>
          <w:b/>
          <w:bCs/>
        </w:rPr>
        <w:t>Corruption</w:t>
      </w:r>
      <w:proofErr w:type="spellEnd"/>
      <w:r w:rsidRPr="00D423A9">
        <w:rPr>
          <w:rFonts w:asciiTheme="minorHAnsi" w:hAnsiTheme="minorHAnsi" w:cs="Segoe UI"/>
          <w:b/>
          <w:bCs/>
        </w:rPr>
        <w:t xml:space="preserve"> </w:t>
      </w:r>
      <w:proofErr w:type="spellStart"/>
      <w:r w:rsidRPr="00D423A9">
        <w:rPr>
          <w:rFonts w:asciiTheme="minorHAnsi" w:hAnsiTheme="minorHAnsi" w:cs="Segoe UI"/>
          <w:b/>
          <w:bCs/>
        </w:rPr>
        <w:t>Perceptions</w:t>
      </w:r>
      <w:proofErr w:type="spellEnd"/>
      <w:r w:rsidRPr="00D423A9">
        <w:rPr>
          <w:rFonts w:asciiTheme="minorHAnsi" w:hAnsiTheme="minorHAnsi" w:cs="Segoe UI"/>
          <w:b/>
          <w:bCs/>
        </w:rPr>
        <w:t xml:space="preserve"> Index – CPI). Česká republika se propadla o 2 body na celkových 54 bodů ze 100 možných (ze 44. místa na 49. příčku, o kterou se dělí s Ománem a Rwandou). Průměr Evropské unie (druhým rokem 64 bodů) se nám nadále vzdaluje.</w:t>
      </w:r>
      <w:r>
        <w:rPr>
          <w:rFonts w:asciiTheme="minorHAnsi" w:hAnsiTheme="minorHAnsi" w:cstheme="minorHAnsi"/>
          <w:b/>
          <w:bCs/>
          <w:color w:val="808080" w:themeColor="background1" w:themeShade="80"/>
          <w:sz w:val="26"/>
          <w:szCs w:val="26"/>
        </w:rPr>
        <w:t xml:space="preserve"> </w:t>
      </w:r>
    </w:p>
    <w:p w14:paraId="75B98D36" w14:textId="77777777" w:rsid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Berlínský sekretariát TI v rámci žebříčku CPI každoročně volí jedno globální téma, které rezonuje napříč světem. Není proto žádným překvapením, že letošním tématem se stala pandemie nemoci COVID-19.</w:t>
      </w:r>
    </w:p>
    <w:p w14:paraId="62E3E4C7" w14:textId="6A6B577C"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Koronavir představuje nečekanou výzvu pro integritu demokratických systémů po celém světě. V současné době tato výzva znamená především úsilí o pokračování v trendu transparentnosti a péče řádného hospodáře, přičemž nedostatek jednoho či druhého nevyhnutelně podporuje korupční prostředí v zemi.</w:t>
      </w:r>
    </w:p>
    <w:p w14:paraId="5BCC8932" w14:textId="77777777" w:rsidR="00D423A9" w:rsidRPr="00D423A9" w:rsidRDefault="00D423A9" w:rsidP="00D423A9">
      <w:pPr>
        <w:pStyle w:val="paragraph"/>
        <w:jc w:val="both"/>
        <w:textAlignment w:val="baseline"/>
        <w:rPr>
          <w:rFonts w:asciiTheme="minorHAnsi" w:hAnsiTheme="minorHAnsi" w:cstheme="minorHAnsi"/>
          <w:b/>
          <w:bCs/>
          <w:color w:val="808080" w:themeColor="background1" w:themeShade="80"/>
          <w:sz w:val="26"/>
          <w:szCs w:val="26"/>
        </w:rPr>
      </w:pPr>
      <w:r w:rsidRPr="00D423A9">
        <w:rPr>
          <w:rFonts w:asciiTheme="minorHAnsi" w:hAnsiTheme="minorHAnsi" w:cstheme="minorHAnsi"/>
          <w:b/>
          <w:bCs/>
          <w:color w:val="808080" w:themeColor="background1" w:themeShade="80"/>
          <w:sz w:val="26"/>
          <w:szCs w:val="26"/>
        </w:rPr>
        <w:t>Jak vypadá globální srovnání?</w:t>
      </w:r>
    </w:p>
    <w:p w14:paraId="285E34CD" w14:textId="30135D15"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b/>
          <w:bCs/>
          <w:color w:val="000000" w:themeColor="text1"/>
        </w:rPr>
        <w:t>První příčku ze 180 hodnocených zemí už druhým rokem sdílejí Dánsko a Nový Zéland, obě země si oproti loňsku o bod polepšily a získaly shodně 88 bodů.</w:t>
      </w:r>
      <w:r w:rsidRPr="00D423A9">
        <w:rPr>
          <w:rFonts w:asciiTheme="minorHAnsi" w:hAnsiTheme="minorHAnsi" w:cstheme="minorHAnsi"/>
          <w:color w:val="000000" w:themeColor="text1"/>
        </w:rPr>
        <w:t xml:space="preserve"> Třetí pozici sdílí Finsko se Švýcarskem, Singapurem a Švédskem (jediné Finsko si o bod pohoršilo, všechny státy tak mají </w:t>
      </w:r>
      <w:r w:rsidRPr="00D423A9">
        <w:rPr>
          <w:rFonts w:asciiTheme="minorHAnsi" w:hAnsiTheme="minorHAnsi" w:cstheme="minorHAnsi"/>
          <w:color w:val="000000" w:themeColor="text1"/>
        </w:rPr>
        <w:lastRenderedPageBreak/>
        <w:t xml:space="preserve">shodně 85 b.). První desítku doplňují Norsko (84 b.), Nizozemsko (82 b.), Lucembursko a Německo (shodně 80 b.). </w:t>
      </w:r>
    </w:p>
    <w:p w14:paraId="79392C28" w14:textId="68BA1C13"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Na opačném konci žebříčku se také neodehrávají velké změny. Somálsko si polepšilo o 3 body, stále však index uzavírá a společně s Jižním Súdánem sdílí poslední příčku (12 b.)</w:t>
      </w:r>
      <w:r w:rsidR="0016446A">
        <w:rPr>
          <w:rFonts w:asciiTheme="minorHAnsi" w:hAnsiTheme="minorHAnsi" w:cstheme="minorHAnsi"/>
          <w:color w:val="000000" w:themeColor="text1"/>
        </w:rPr>
        <w:t xml:space="preserve">. Nad nimi se pak umístila </w:t>
      </w:r>
      <w:r w:rsidRPr="00D423A9">
        <w:rPr>
          <w:rFonts w:asciiTheme="minorHAnsi" w:hAnsiTheme="minorHAnsi" w:cstheme="minorHAnsi"/>
          <w:color w:val="000000" w:themeColor="text1"/>
        </w:rPr>
        <w:t>Sýrie, která získala o bod více než loni (14 b.).</w:t>
      </w:r>
    </w:p>
    <w:p w14:paraId="7AA9EA09" w14:textId="3C5DDB03"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Nejvíce bodů v minulém roce ztratily Surinam (-6 b.) a Komory (-4 b.). Skokanem roku jsou Maledivy, které si polepšily o závratných 14 bodů. Stejně jako minulý rok patří ke skokanům také Arménie, která si podruhé v řadě připsala 7 bodů. O 4 body dopředu se posunul Kazachstán.</w:t>
      </w:r>
    </w:p>
    <w:p w14:paraId="69738EBB" w14:textId="77A7DBED"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b/>
          <w:bCs/>
          <w:color w:val="000000" w:themeColor="text1"/>
        </w:rPr>
        <w:t>V rámci sedmadvacítky členských zemí Evropské unie (ø 64 b.) se ČR drží na loňském 19. místě, které však udržela jen díky odchodu Velké Británie z EU.</w:t>
      </w:r>
      <w:r w:rsidRPr="00D423A9">
        <w:rPr>
          <w:rFonts w:asciiTheme="minorHAnsi" w:hAnsiTheme="minorHAnsi" w:cstheme="minorHAnsi"/>
          <w:color w:val="000000" w:themeColor="text1"/>
        </w:rPr>
        <w:t xml:space="preserve"> O poslední pozici v evropském srovnání se dělí Bulharsko, Rumunsko a Maďarsko (44 b.). </w:t>
      </w:r>
    </w:p>
    <w:p w14:paraId="63CCC219" w14:textId="113790AD" w:rsidR="008E4D52" w:rsidRPr="00D423A9" w:rsidRDefault="00D423A9" w:rsidP="00D423A9">
      <w:pPr>
        <w:pStyle w:val="paragraph"/>
        <w:spacing w:before="0" w:beforeAutospacing="0" w:after="0" w:afterAutospacing="0"/>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 xml:space="preserve">Visegradské země (V4) obecně potvrzují sestupný trend z předchozích let. Nejlépe je na tom stále Polsko (56 b.), které ztratilo od roku 2015 sedm bodů. </w:t>
      </w:r>
      <w:r w:rsidRPr="00D423A9">
        <w:rPr>
          <w:rFonts w:asciiTheme="minorHAnsi" w:hAnsiTheme="minorHAnsi" w:cstheme="minorHAnsi"/>
          <w:b/>
          <w:bCs/>
          <w:color w:val="000000" w:themeColor="text1"/>
        </w:rPr>
        <w:t>Následuje zhoršující se ČR (54 b.) a po tříleté stagnaci ztratilo bod také Slovensko (49 b.).</w:t>
      </w:r>
      <w:r w:rsidRPr="00D423A9">
        <w:rPr>
          <w:rFonts w:asciiTheme="minorHAnsi" w:hAnsiTheme="minorHAnsi" w:cstheme="minorHAnsi"/>
          <w:color w:val="000000" w:themeColor="text1"/>
        </w:rPr>
        <w:t xml:space="preserve"> Maďarsko od roku 2012 ztratilo v indexu již 11 bodů.</w:t>
      </w:r>
    </w:p>
    <w:p w14:paraId="005BFCD5" w14:textId="77777777" w:rsidR="00D423A9" w:rsidRPr="00D423A9" w:rsidRDefault="00D423A9" w:rsidP="00D423A9">
      <w:pPr>
        <w:pStyle w:val="paragraph"/>
        <w:jc w:val="both"/>
        <w:textAlignment w:val="baseline"/>
        <w:rPr>
          <w:rFonts w:asciiTheme="minorHAnsi" w:hAnsiTheme="minorHAnsi" w:cstheme="minorHAnsi"/>
          <w:b/>
          <w:bCs/>
          <w:color w:val="808080" w:themeColor="background1" w:themeShade="80"/>
          <w:sz w:val="26"/>
          <w:szCs w:val="26"/>
        </w:rPr>
      </w:pPr>
      <w:r w:rsidRPr="00D423A9">
        <w:rPr>
          <w:rFonts w:asciiTheme="minorHAnsi" w:hAnsiTheme="minorHAnsi" w:cstheme="minorHAnsi"/>
          <w:b/>
          <w:bCs/>
          <w:color w:val="808080" w:themeColor="background1" w:themeShade="80"/>
          <w:sz w:val="26"/>
          <w:szCs w:val="26"/>
        </w:rPr>
        <w:t xml:space="preserve">Jaké jsou hlavní příčiny neúspěchu ČR? </w:t>
      </w:r>
    </w:p>
    <w:p w14:paraId="4F32E432" w14:textId="66272A53" w:rsidR="00D423A9" w:rsidRPr="00D423A9" w:rsidRDefault="00D423A9" w:rsidP="00D423A9">
      <w:pPr>
        <w:pStyle w:val="paragraph"/>
        <w:jc w:val="both"/>
        <w:textAlignment w:val="baseline"/>
        <w:rPr>
          <w:rFonts w:asciiTheme="minorHAnsi" w:hAnsiTheme="minorHAnsi" w:cstheme="minorHAnsi"/>
          <w:color w:val="000000" w:themeColor="text1"/>
        </w:rPr>
      </w:pPr>
      <w:r w:rsidRPr="0016446A">
        <w:rPr>
          <w:rFonts w:asciiTheme="minorHAnsi" w:hAnsiTheme="minorHAnsi" w:cstheme="minorHAnsi"/>
          <w:b/>
          <w:bCs/>
          <w:color w:val="000000" w:themeColor="text1"/>
        </w:rPr>
        <w:t>Data pro aktuální žebříček CPI se sbírala v průběhu let 2019/2020, a to prostřednictvím třinácti nezávislých indexů (světových a regionálních) - najedná se tedy o vox populi.</w:t>
      </w:r>
      <w:r w:rsidRPr="00D423A9">
        <w:rPr>
          <w:rFonts w:asciiTheme="minorHAnsi" w:hAnsiTheme="minorHAnsi" w:cstheme="minorHAnsi"/>
          <w:color w:val="000000" w:themeColor="text1"/>
        </w:rPr>
        <w:t xml:space="preserve"> Česká republika byla hodnocena maximálním možným počtem indexů pro jednu zemi, což je deset. </w:t>
      </w:r>
    </w:p>
    <w:p w14:paraId="56AF92AB" w14:textId="078FA279"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Letošní propad odráží výrazná ztráta (-18 b.) v jednom z indexů (</w:t>
      </w:r>
      <w:proofErr w:type="spellStart"/>
      <w:r w:rsidRPr="00D423A9">
        <w:rPr>
          <w:rFonts w:asciiTheme="minorHAnsi" w:hAnsiTheme="minorHAnsi" w:cstheme="minorHAnsi"/>
          <w:color w:val="000000" w:themeColor="text1"/>
        </w:rPr>
        <w:t>Bertelsmann</w:t>
      </w:r>
      <w:proofErr w:type="spellEnd"/>
      <w:r w:rsidRPr="00D423A9">
        <w:rPr>
          <w:rFonts w:asciiTheme="minorHAnsi" w:hAnsiTheme="minorHAnsi" w:cstheme="minorHAnsi"/>
          <w:color w:val="000000" w:themeColor="text1"/>
        </w:rPr>
        <w:t xml:space="preserve"> Foundation </w:t>
      </w:r>
      <w:proofErr w:type="spellStart"/>
      <w:r w:rsidRPr="00D423A9">
        <w:rPr>
          <w:rFonts w:asciiTheme="minorHAnsi" w:hAnsiTheme="minorHAnsi" w:cstheme="minorHAnsi"/>
          <w:color w:val="000000" w:themeColor="text1"/>
        </w:rPr>
        <w:t>Sustainable</w:t>
      </w:r>
      <w:proofErr w:type="spellEnd"/>
      <w:r w:rsidRPr="00D423A9">
        <w:rPr>
          <w:rFonts w:asciiTheme="minorHAnsi" w:hAnsiTheme="minorHAnsi" w:cstheme="minorHAnsi"/>
          <w:color w:val="000000" w:themeColor="text1"/>
        </w:rPr>
        <w:t xml:space="preserve"> </w:t>
      </w:r>
      <w:proofErr w:type="spellStart"/>
      <w:r w:rsidRPr="00D423A9">
        <w:rPr>
          <w:rFonts w:asciiTheme="minorHAnsi" w:hAnsiTheme="minorHAnsi" w:cstheme="minorHAnsi"/>
          <w:color w:val="000000" w:themeColor="text1"/>
        </w:rPr>
        <w:t>Governance</w:t>
      </w:r>
      <w:proofErr w:type="spellEnd"/>
      <w:r w:rsidRPr="00D423A9">
        <w:rPr>
          <w:rFonts w:asciiTheme="minorHAnsi" w:hAnsiTheme="minorHAnsi" w:cstheme="minorHAnsi"/>
          <w:color w:val="000000" w:themeColor="text1"/>
        </w:rPr>
        <w:t xml:space="preserve"> Index), který se zabývá tím, jak je osobám ve veřejných funkcích bráněno zneužívat své postavení pro osobní prospěch.</w:t>
      </w:r>
    </w:p>
    <w:p w14:paraId="4C57B3EF" w14:textId="2C58BA26" w:rsidR="00D423A9" w:rsidRPr="00D423A9" w:rsidRDefault="00D423A9" w:rsidP="00D423A9">
      <w:pPr>
        <w:pStyle w:val="paragraph"/>
        <w:jc w:val="both"/>
        <w:textAlignment w:val="baseline"/>
        <w:rPr>
          <w:rFonts w:asciiTheme="minorHAnsi" w:hAnsiTheme="minorHAnsi" w:cstheme="minorHAnsi"/>
          <w:b/>
          <w:bCs/>
          <w:color w:val="000000" w:themeColor="text1"/>
        </w:rPr>
      </w:pPr>
      <w:r w:rsidRPr="00D423A9">
        <w:rPr>
          <w:rFonts w:asciiTheme="minorHAnsi" w:hAnsiTheme="minorHAnsi" w:cstheme="minorHAnsi"/>
          <w:b/>
          <w:bCs/>
          <w:color w:val="000000" w:themeColor="text1"/>
        </w:rPr>
        <w:t>Státní správa v krizi</w:t>
      </w:r>
    </w:p>
    <w:p w14:paraId="71C7DBCA" w14:textId="6036E3BD"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b/>
          <w:bCs/>
          <w:color w:val="000000" w:themeColor="text1"/>
        </w:rPr>
        <w:t>„Pandemická krize jen zvýraznila negativní trend, se kterým se v Česku potýkáme delší dobu, a to rozklad státní správy. V oslabeném systému</w:t>
      </w:r>
      <w:r w:rsidR="00671F10">
        <w:rPr>
          <w:rFonts w:asciiTheme="minorHAnsi" w:hAnsiTheme="minorHAnsi" w:cstheme="minorHAnsi"/>
          <w:b/>
          <w:bCs/>
          <w:color w:val="000000" w:themeColor="text1"/>
        </w:rPr>
        <w:t xml:space="preserve"> </w:t>
      </w:r>
      <w:r w:rsidRPr="00D423A9">
        <w:rPr>
          <w:rFonts w:asciiTheme="minorHAnsi" w:hAnsiTheme="minorHAnsi" w:cstheme="minorHAnsi"/>
          <w:b/>
          <w:bCs/>
          <w:color w:val="000000" w:themeColor="text1"/>
        </w:rPr>
        <w:t>jsou následky COVID-19 citelnější a viditelnější,“</w:t>
      </w:r>
      <w:r w:rsidRPr="00D423A9">
        <w:rPr>
          <w:rFonts w:asciiTheme="minorHAnsi" w:hAnsiTheme="minorHAnsi" w:cstheme="minorHAnsi"/>
          <w:color w:val="000000" w:themeColor="text1"/>
        </w:rPr>
        <w:t xml:space="preserve"> komentuje situaci </w:t>
      </w:r>
      <w:hyperlink r:id="rId10" w:history="1">
        <w:r w:rsidRPr="00D423A9">
          <w:rPr>
            <w:rStyle w:val="Hypertextovodkaz"/>
            <w:rFonts w:asciiTheme="minorHAnsi" w:hAnsiTheme="minorHAnsi" w:cstheme="minorHAnsi"/>
            <w:color w:val="0070C0"/>
          </w:rPr>
          <w:t>Petr Leyer</w:t>
        </w:r>
      </w:hyperlink>
      <w:r w:rsidRPr="00D423A9">
        <w:rPr>
          <w:rFonts w:asciiTheme="minorHAnsi" w:hAnsiTheme="minorHAnsi" w:cstheme="minorHAnsi"/>
          <w:color w:val="000000" w:themeColor="text1"/>
        </w:rPr>
        <w:t xml:space="preserve">, ředitel TI ČR. </w:t>
      </w:r>
    </w:p>
    <w:p w14:paraId="1B47CC32" w14:textId="77777777"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Průzkumy samotné státní správy ukázaly, že za poslední roky došlo k poklesu efektivity a k prohloubení politického vlivu na fungování úředníků. Dlouhodobě se nedaří přilákat zkušené odborníky do služeb státu. Procesy modernizace a odstranění zbytečné byrokracie se zasekly.</w:t>
      </w:r>
    </w:p>
    <w:p w14:paraId="144BC0C4" w14:textId="49216464"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 xml:space="preserve">Nedaří se pak prosazovat ani zcela nezbytná operativní, legislativní nebo ekonomická protikorupční opatření, která jsou mezinárodním standardem. </w:t>
      </w:r>
    </w:p>
    <w:p w14:paraId="0FCF37D2" w14:textId="75AA7A8A" w:rsidR="008E4D52" w:rsidRDefault="00D423A9" w:rsidP="00D423A9">
      <w:pPr>
        <w:pStyle w:val="paragraph"/>
        <w:spacing w:before="0" w:beforeAutospacing="0" w:after="0" w:afterAutospacing="0"/>
        <w:jc w:val="both"/>
        <w:textAlignment w:val="baseline"/>
        <w:rPr>
          <w:rFonts w:asciiTheme="minorHAnsi" w:hAnsiTheme="minorHAnsi" w:cstheme="minorHAnsi"/>
          <w:color w:val="000000" w:themeColor="text1"/>
        </w:rPr>
      </w:pPr>
      <w:r w:rsidRPr="00D423A9">
        <w:rPr>
          <w:rFonts w:asciiTheme="minorHAnsi" w:hAnsiTheme="minorHAnsi" w:cstheme="minorHAnsi"/>
          <w:b/>
          <w:bCs/>
          <w:color w:val="000000" w:themeColor="text1"/>
        </w:rPr>
        <w:t xml:space="preserve">„Podivné nákupy zdravotnického materiálu, nefunkční trasování, neexistující komunikační nebo zmatečná očkovací strategie. To vše jsou důsledky odborně vyprázdněných a v důsledku neefektivních úřadů. Vládní politici nemají zájem budovat sebevědomou </w:t>
      </w:r>
      <w:r w:rsidRPr="00D423A9">
        <w:rPr>
          <w:rFonts w:asciiTheme="minorHAnsi" w:hAnsiTheme="minorHAnsi" w:cstheme="minorHAnsi"/>
          <w:b/>
          <w:bCs/>
          <w:color w:val="000000" w:themeColor="text1"/>
        </w:rPr>
        <w:lastRenderedPageBreak/>
        <w:t>administrativu. Hlavním kritériem je loajalita, takže v době pandemie logicky sklízejí ovoce neschopnosti a chaosu,”</w:t>
      </w:r>
      <w:r w:rsidRPr="00D423A9">
        <w:rPr>
          <w:rFonts w:asciiTheme="minorHAnsi" w:hAnsiTheme="minorHAnsi" w:cstheme="minorHAnsi"/>
          <w:color w:val="000000" w:themeColor="text1"/>
        </w:rPr>
        <w:t xml:space="preserve"> doplňuje šéf české TI.</w:t>
      </w:r>
    </w:p>
    <w:p w14:paraId="2D6EA041" w14:textId="1EA621FA" w:rsidR="00D423A9" w:rsidRPr="00D423A9" w:rsidRDefault="00D423A9" w:rsidP="00D423A9">
      <w:pPr>
        <w:pStyle w:val="paragraph"/>
        <w:jc w:val="both"/>
        <w:textAlignment w:val="baseline"/>
        <w:rPr>
          <w:rFonts w:asciiTheme="minorHAnsi" w:hAnsiTheme="minorHAnsi" w:cstheme="minorHAnsi"/>
          <w:b/>
          <w:bCs/>
          <w:color w:val="000000" w:themeColor="text1"/>
        </w:rPr>
      </w:pPr>
      <w:r w:rsidRPr="00D423A9">
        <w:rPr>
          <w:rFonts w:asciiTheme="minorHAnsi" w:hAnsiTheme="minorHAnsi" w:cstheme="minorHAnsi"/>
          <w:b/>
          <w:bCs/>
          <w:color w:val="000000" w:themeColor="text1"/>
        </w:rPr>
        <w:t>Pokračující privatizace veřejného zájmu</w:t>
      </w:r>
    </w:p>
    <w:p w14:paraId="0317E192" w14:textId="18EF118B"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 xml:space="preserve">Rozpad odborných kapacit státní správy provází též fenomén privatizace veřejného zájmu projevující se pochybnostmi o jednotlivých krocích politiků (střet zájmů) a netransparentním lobbingem. </w:t>
      </w:r>
    </w:p>
    <w:p w14:paraId="04040379" w14:textId="6C65B987"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b/>
          <w:bCs/>
          <w:color w:val="000000" w:themeColor="text1"/>
        </w:rPr>
        <w:t xml:space="preserve">„Kauza týkající se střetu zájmů </w:t>
      </w:r>
      <w:r w:rsidRPr="00AD3E6A">
        <w:rPr>
          <w:rFonts w:asciiTheme="minorHAnsi" w:hAnsiTheme="minorHAnsi" w:cstheme="minorHAnsi"/>
          <w:b/>
          <w:bCs/>
          <w:color w:val="000000" w:themeColor="text1"/>
        </w:rPr>
        <w:t xml:space="preserve">premiéra </w:t>
      </w:r>
      <w:hyperlink r:id="rId11" w:history="1">
        <w:r w:rsidRPr="00AD3E6A">
          <w:rPr>
            <w:rStyle w:val="Hypertextovodkaz"/>
            <w:rFonts w:asciiTheme="minorHAnsi" w:hAnsiTheme="minorHAnsi" w:cstheme="minorHAnsi"/>
            <w:b/>
            <w:bCs/>
            <w:color w:val="000000" w:themeColor="text1"/>
          </w:rPr>
          <w:t>Andreje Babiše</w:t>
        </w:r>
      </w:hyperlink>
      <w:r w:rsidR="00AD3E6A" w:rsidRPr="00AD3E6A">
        <w:rPr>
          <w:rFonts w:asciiTheme="minorHAnsi" w:hAnsiTheme="minorHAnsi" w:cstheme="minorHAnsi"/>
          <w:b/>
          <w:bCs/>
          <w:color w:val="000000" w:themeColor="text1"/>
        </w:rPr>
        <w:t xml:space="preserve"> </w:t>
      </w:r>
      <w:r w:rsidR="00AD3E6A">
        <w:rPr>
          <w:rFonts w:asciiTheme="minorHAnsi" w:hAnsiTheme="minorHAnsi" w:cstheme="minorHAnsi"/>
          <w:b/>
          <w:bCs/>
          <w:color w:val="000000" w:themeColor="text1"/>
        </w:rPr>
        <w:t>(ANO)</w:t>
      </w:r>
      <w:r w:rsidRPr="00D423A9">
        <w:rPr>
          <w:rFonts w:asciiTheme="minorHAnsi" w:hAnsiTheme="minorHAnsi" w:cstheme="minorHAnsi"/>
          <w:b/>
          <w:bCs/>
          <w:color w:val="000000" w:themeColor="text1"/>
        </w:rPr>
        <w:t xml:space="preserve"> není jen ojedinělou a nahodilou anomálií, ale jedná se </w:t>
      </w:r>
      <w:r w:rsidR="0080119B">
        <w:rPr>
          <w:rFonts w:asciiTheme="minorHAnsi" w:hAnsiTheme="minorHAnsi" w:cstheme="minorHAnsi"/>
          <w:b/>
          <w:bCs/>
          <w:color w:val="000000" w:themeColor="text1"/>
        </w:rPr>
        <w:t xml:space="preserve">o </w:t>
      </w:r>
      <w:r w:rsidRPr="00D423A9">
        <w:rPr>
          <w:rFonts w:asciiTheme="minorHAnsi" w:hAnsiTheme="minorHAnsi" w:cstheme="minorHAnsi"/>
          <w:b/>
          <w:bCs/>
          <w:color w:val="000000" w:themeColor="text1"/>
        </w:rPr>
        <w:t>systémový problém, který Česku brání v efektivním omezování korupce. Samotné kroky vlády a jednotlivých ministryň a ministrů pak paradoxně vedou k obhajobě šéfa kabinetu místo</w:t>
      </w:r>
      <w:r w:rsidR="00671F10">
        <w:rPr>
          <w:rFonts w:asciiTheme="minorHAnsi" w:hAnsiTheme="minorHAnsi" w:cstheme="minorHAnsi"/>
          <w:b/>
          <w:bCs/>
          <w:color w:val="000000" w:themeColor="text1"/>
        </w:rPr>
        <w:t xml:space="preserve"> toho</w:t>
      </w:r>
      <w:r w:rsidRPr="00D423A9">
        <w:rPr>
          <w:rFonts w:asciiTheme="minorHAnsi" w:hAnsiTheme="minorHAnsi" w:cstheme="minorHAnsi"/>
          <w:b/>
          <w:bCs/>
          <w:color w:val="000000" w:themeColor="text1"/>
        </w:rPr>
        <w:t>, aby byly vedeny ve prospěch občanů a široké veřejnosti,”</w:t>
      </w:r>
      <w:r w:rsidRPr="00D423A9">
        <w:rPr>
          <w:rFonts w:asciiTheme="minorHAnsi" w:hAnsiTheme="minorHAnsi" w:cstheme="minorHAnsi"/>
          <w:color w:val="000000" w:themeColor="text1"/>
        </w:rPr>
        <w:t xml:space="preserve"> popisuje </w:t>
      </w:r>
      <w:hyperlink r:id="rId12" w:history="1">
        <w:r w:rsidRPr="00D423A9">
          <w:rPr>
            <w:rStyle w:val="Hypertextovodkaz"/>
            <w:rFonts w:asciiTheme="minorHAnsi" w:hAnsiTheme="minorHAnsi" w:cstheme="minorHAnsi"/>
            <w:color w:val="0070C0"/>
          </w:rPr>
          <w:t>David Kotora</w:t>
        </w:r>
      </w:hyperlink>
      <w:r w:rsidRPr="00D423A9">
        <w:rPr>
          <w:rFonts w:asciiTheme="minorHAnsi" w:hAnsiTheme="minorHAnsi" w:cstheme="minorHAnsi"/>
          <w:color w:val="000000" w:themeColor="text1"/>
        </w:rPr>
        <w:t xml:space="preserve">, vedoucí komunikace TI ČR, závažnost prohlubující se privatizace veřejného </w:t>
      </w:r>
      <w:r>
        <w:rPr>
          <w:rFonts w:asciiTheme="minorHAnsi" w:hAnsiTheme="minorHAnsi" w:cstheme="minorHAnsi"/>
          <w:color w:val="000000" w:themeColor="text1"/>
        </w:rPr>
        <w:t xml:space="preserve">zájmu </w:t>
      </w:r>
      <w:r w:rsidRPr="00D423A9">
        <w:rPr>
          <w:rFonts w:asciiTheme="minorHAnsi" w:hAnsiTheme="minorHAnsi" w:cstheme="minorHAnsi"/>
          <w:color w:val="000000" w:themeColor="text1"/>
        </w:rPr>
        <w:t>v</w:t>
      </w:r>
      <w:r w:rsidR="001E14E0">
        <w:rPr>
          <w:rFonts w:asciiTheme="minorHAnsi" w:hAnsiTheme="minorHAnsi" w:cstheme="minorHAnsi"/>
          <w:color w:val="000000" w:themeColor="text1"/>
        </w:rPr>
        <w:t> </w:t>
      </w:r>
      <w:r w:rsidRPr="00D423A9">
        <w:rPr>
          <w:rFonts w:asciiTheme="minorHAnsi" w:hAnsiTheme="minorHAnsi" w:cstheme="minorHAnsi"/>
          <w:color w:val="000000" w:themeColor="text1"/>
        </w:rPr>
        <w:t>Č</w:t>
      </w:r>
      <w:r w:rsidR="001E14E0">
        <w:rPr>
          <w:rFonts w:asciiTheme="minorHAnsi" w:hAnsiTheme="minorHAnsi" w:cstheme="minorHAnsi"/>
          <w:color w:val="000000" w:themeColor="text1"/>
        </w:rPr>
        <w:t>eské republice</w:t>
      </w:r>
      <w:r w:rsidRPr="00D423A9">
        <w:rPr>
          <w:rFonts w:asciiTheme="minorHAnsi" w:hAnsiTheme="minorHAnsi" w:cstheme="minorHAnsi"/>
          <w:color w:val="000000" w:themeColor="text1"/>
        </w:rPr>
        <w:t>.</w:t>
      </w:r>
    </w:p>
    <w:p w14:paraId="60AB8E42" w14:textId="19FAF65A" w:rsidR="00D423A9" w:rsidRPr="00D423A9"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b/>
          <w:bCs/>
          <w:color w:val="000000" w:themeColor="text1"/>
        </w:rPr>
        <w:t>„Pandemická krize naplno odhalila trend skrytých a privátních zájmů, které ovlivňují vládní rozhodnutí a vznikající legislativu. V nastalém chaosu restrikcí a nařízení nabyla společnost dojmu, že pokud máte správné kontakty, můžete si zařídit výjimku pro svůj obor,”</w:t>
      </w:r>
      <w:r w:rsidRPr="00D423A9">
        <w:rPr>
          <w:rFonts w:asciiTheme="minorHAnsi" w:hAnsiTheme="minorHAnsi" w:cstheme="minorHAnsi"/>
          <w:color w:val="000000" w:themeColor="text1"/>
        </w:rPr>
        <w:t xml:space="preserve"> vysvětluje vedoucí analytik TI ČR </w:t>
      </w:r>
      <w:hyperlink r:id="rId13" w:history="1">
        <w:r w:rsidRPr="00D423A9">
          <w:rPr>
            <w:rStyle w:val="Hypertextovodkaz"/>
            <w:rFonts w:asciiTheme="minorHAnsi" w:hAnsiTheme="minorHAnsi" w:cstheme="minorHAnsi"/>
            <w:color w:val="0070C0"/>
          </w:rPr>
          <w:t>Milan Eibl</w:t>
        </w:r>
      </w:hyperlink>
      <w:r w:rsidRPr="00D423A9">
        <w:rPr>
          <w:rFonts w:asciiTheme="minorHAnsi" w:hAnsiTheme="minorHAnsi" w:cstheme="minorHAnsi"/>
          <w:color w:val="000000" w:themeColor="text1"/>
        </w:rPr>
        <w:t>.</w:t>
      </w:r>
    </w:p>
    <w:p w14:paraId="6BD20876" w14:textId="0574BC10" w:rsidR="00C5610A" w:rsidRDefault="00D423A9" w:rsidP="00D423A9">
      <w:pPr>
        <w:pStyle w:val="paragraph"/>
        <w:jc w:val="both"/>
        <w:textAlignment w:val="baseline"/>
        <w:rPr>
          <w:rFonts w:asciiTheme="minorHAnsi" w:hAnsiTheme="minorHAnsi" w:cstheme="minorHAnsi"/>
          <w:color w:val="000000" w:themeColor="text1"/>
        </w:rPr>
      </w:pPr>
      <w:r w:rsidRPr="00D423A9">
        <w:rPr>
          <w:rFonts w:asciiTheme="minorHAnsi" w:hAnsiTheme="minorHAnsi" w:cstheme="minorHAnsi"/>
          <w:color w:val="000000" w:themeColor="text1"/>
        </w:rPr>
        <w:t>TI kromě toho monitorovala celou řadu návrhů zákonů</w:t>
      </w:r>
      <w:r w:rsidR="00C5610A">
        <w:rPr>
          <w:rFonts w:asciiTheme="minorHAnsi" w:hAnsiTheme="minorHAnsi" w:cstheme="minorHAnsi"/>
          <w:color w:val="000000" w:themeColor="text1"/>
        </w:rPr>
        <w:t>, např. evidenc</w:t>
      </w:r>
      <w:r w:rsidR="00E944B7">
        <w:rPr>
          <w:rFonts w:asciiTheme="minorHAnsi" w:hAnsiTheme="minorHAnsi" w:cstheme="minorHAnsi"/>
          <w:color w:val="000000" w:themeColor="text1"/>
        </w:rPr>
        <w:t>i</w:t>
      </w:r>
      <w:r w:rsidR="00C5610A">
        <w:rPr>
          <w:rFonts w:asciiTheme="minorHAnsi" w:hAnsiTheme="minorHAnsi" w:cstheme="minorHAnsi"/>
          <w:color w:val="000000" w:themeColor="text1"/>
        </w:rPr>
        <w:t xml:space="preserve"> skutečných majitelů či </w:t>
      </w:r>
      <w:r w:rsidR="00C5610A" w:rsidRPr="00C5610A">
        <w:rPr>
          <w:rFonts w:asciiTheme="minorHAnsi" w:hAnsiTheme="minorHAnsi" w:cstheme="minorHAnsi"/>
          <w:color w:val="000000" w:themeColor="text1"/>
        </w:rPr>
        <w:t>novel</w:t>
      </w:r>
      <w:r w:rsidR="00E944B7">
        <w:rPr>
          <w:rFonts w:asciiTheme="minorHAnsi" w:hAnsiTheme="minorHAnsi" w:cstheme="minorHAnsi"/>
          <w:color w:val="000000" w:themeColor="text1"/>
        </w:rPr>
        <w:t>u</w:t>
      </w:r>
      <w:r w:rsidR="00C5610A" w:rsidRPr="00C5610A">
        <w:rPr>
          <w:rFonts w:asciiTheme="minorHAnsi" w:hAnsiTheme="minorHAnsi" w:cstheme="minorHAnsi"/>
          <w:color w:val="000000" w:themeColor="text1"/>
        </w:rPr>
        <w:t xml:space="preserve"> zákona o zadávání veřejných zakázek</w:t>
      </w:r>
      <w:r w:rsidR="00C5610A">
        <w:rPr>
          <w:rFonts w:asciiTheme="minorHAnsi" w:hAnsiTheme="minorHAnsi" w:cstheme="minorHAnsi"/>
          <w:color w:val="000000" w:themeColor="text1"/>
        </w:rPr>
        <w:t>.</w:t>
      </w:r>
      <w:r w:rsidRPr="00D423A9">
        <w:rPr>
          <w:rFonts w:asciiTheme="minorHAnsi" w:hAnsiTheme="minorHAnsi" w:cstheme="minorHAnsi"/>
          <w:color w:val="000000" w:themeColor="text1"/>
        </w:rPr>
        <w:t xml:space="preserve"> Ilustrativním příkladem vlivu soukromých zájmů na legislativu</w:t>
      </w:r>
      <w:r w:rsidR="00C5610A">
        <w:rPr>
          <w:rFonts w:asciiTheme="minorHAnsi" w:hAnsiTheme="minorHAnsi" w:cstheme="minorHAnsi"/>
          <w:color w:val="000000" w:themeColor="text1"/>
        </w:rPr>
        <w:t xml:space="preserve"> </w:t>
      </w:r>
      <w:r w:rsidRPr="00D423A9">
        <w:rPr>
          <w:rFonts w:asciiTheme="minorHAnsi" w:hAnsiTheme="minorHAnsi" w:cstheme="minorHAnsi"/>
          <w:color w:val="000000" w:themeColor="text1"/>
        </w:rPr>
        <w:t xml:space="preserve">byla novela zákona o odpadech. V první půli roku 2020 představili identické legislativní návrhy dva nesourodí poslanci, </w:t>
      </w:r>
      <w:hyperlink r:id="rId14" w:history="1">
        <w:r w:rsidRPr="003478EB">
          <w:rPr>
            <w:rStyle w:val="Hypertextovodkaz"/>
            <w:rFonts w:asciiTheme="minorHAnsi" w:hAnsiTheme="minorHAnsi" w:cstheme="minorHAnsi"/>
            <w:color w:val="0070C0"/>
          </w:rPr>
          <w:t>Antonín Staněk</w:t>
        </w:r>
      </w:hyperlink>
      <w:r w:rsidRPr="00D423A9">
        <w:rPr>
          <w:rFonts w:asciiTheme="minorHAnsi" w:hAnsiTheme="minorHAnsi" w:cstheme="minorHAnsi"/>
          <w:color w:val="000000" w:themeColor="text1"/>
        </w:rPr>
        <w:t xml:space="preserve"> (ČSSD) a </w:t>
      </w:r>
      <w:hyperlink r:id="rId15" w:history="1">
        <w:r w:rsidRPr="003478EB">
          <w:rPr>
            <w:rStyle w:val="Hypertextovodkaz"/>
            <w:rFonts w:asciiTheme="minorHAnsi" w:hAnsiTheme="minorHAnsi" w:cstheme="minorHAnsi"/>
            <w:color w:val="0070C0"/>
          </w:rPr>
          <w:t>Jan Zahradník</w:t>
        </w:r>
      </w:hyperlink>
      <w:r w:rsidRPr="00D423A9">
        <w:rPr>
          <w:rFonts w:asciiTheme="minorHAnsi" w:hAnsiTheme="minorHAnsi" w:cstheme="minorHAnsi"/>
          <w:color w:val="000000" w:themeColor="text1"/>
        </w:rPr>
        <w:t xml:space="preserve"> (ODS). </w:t>
      </w:r>
    </w:p>
    <w:p w14:paraId="307D589D" w14:textId="027E291E" w:rsidR="00D423A9" w:rsidRDefault="00C5610A" w:rsidP="00D423A9">
      <w:pPr>
        <w:pStyle w:val="paragraph"/>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Ačkoliv </w:t>
      </w:r>
      <w:r w:rsidRPr="00D423A9">
        <w:rPr>
          <w:rFonts w:asciiTheme="minorHAnsi" w:hAnsiTheme="minorHAnsi" w:cstheme="minorHAnsi"/>
          <w:color w:val="000000" w:themeColor="text1"/>
        </w:rPr>
        <w:t>neexistuje jasný důkaz, kdo text napsal nebo kdo lobbistické aktivity platil</w:t>
      </w:r>
      <w:r>
        <w:rPr>
          <w:rFonts w:asciiTheme="minorHAnsi" w:hAnsiTheme="minorHAnsi" w:cstheme="minorHAnsi"/>
          <w:color w:val="000000" w:themeColor="text1"/>
        </w:rPr>
        <w:t>, z</w:t>
      </w:r>
      <w:r w:rsidR="00D423A9" w:rsidRPr="00D423A9">
        <w:rPr>
          <w:rFonts w:asciiTheme="minorHAnsi" w:hAnsiTheme="minorHAnsi" w:cstheme="minorHAnsi"/>
          <w:color w:val="000000" w:themeColor="text1"/>
        </w:rPr>
        <w:t>měna zákona jasně nahrává společnostem, které odpad zpracovávají, a zbavuje obce šancí získat oprávněné poplatky do svých rozpočtů</w:t>
      </w:r>
      <w:r>
        <w:rPr>
          <w:rFonts w:asciiTheme="minorHAnsi" w:hAnsiTheme="minorHAnsi" w:cstheme="minorHAnsi"/>
          <w:color w:val="000000" w:themeColor="text1"/>
        </w:rPr>
        <w:t xml:space="preserve">. </w:t>
      </w:r>
    </w:p>
    <w:p w14:paraId="6C92432B" w14:textId="079B01E0" w:rsidR="003478EB" w:rsidRPr="003478EB" w:rsidRDefault="003478EB" w:rsidP="003478EB">
      <w:pPr>
        <w:pStyle w:val="paragraph"/>
        <w:jc w:val="both"/>
        <w:textAlignment w:val="baseline"/>
        <w:rPr>
          <w:rFonts w:asciiTheme="minorHAnsi" w:hAnsiTheme="minorHAnsi" w:cstheme="minorHAnsi"/>
          <w:b/>
          <w:bCs/>
          <w:color w:val="000000" w:themeColor="text1"/>
        </w:rPr>
      </w:pPr>
      <w:r w:rsidRPr="003478EB">
        <w:rPr>
          <w:rFonts w:asciiTheme="minorHAnsi" w:hAnsiTheme="minorHAnsi" w:cstheme="minorHAnsi"/>
          <w:b/>
          <w:bCs/>
          <w:color w:val="000000" w:themeColor="text1"/>
        </w:rPr>
        <w:t>Klíčové korupční kauzy</w:t>
      </w:r>
    </w:p>
    <w:p w14:paraId="3F41BAFF" w14:textId="2703384D" w:rsidR="00C5610A" w:rsidRDefault="00C5610A" w:rsidP="003478EB">
      <w:pPr>
        <w:pStyle w:val="paragraph"/>
        <w:jc w:val="both"/>
        <w:textAlignment w:val="baseline"/>
        <w:rPr>
          <w:rFonts w:asciiTheme="minorHAnsi" w:hAnsiTheme="minorHAnsi" w:cstheme="minorHAnsi"/>
          <w:color w:val="000000" w:themeColor="text1"/>
        </w:rPr>
      </w:pPr>
      <w:r w:rsidRPr="00C5610A">
        <w:rPr>
          <w:rFonts w:asciiTheme="minorHAnsi" w:hAnsiTheme="minorHAnsi" w:cstheme="minorHAnsi"/>
          <w:color w:val="000000" w:themeColor="text1"/>
        </w:rPr>
        <w:t xml:space="preserve">Česká republika si stále nedokázala poradit ani s modely korupce o úroveň méně sofistikovanými, </w:t>
      </w:r>
      <w:r>
        <w:rPr>
          <w:rFonts w:asciiTheme="minorHAnsi" w:hAnsiTheme="minorHAnsi" w:cstheme="minorHAnsi"/>
          <w:color w:val="000000" w:themeColor="text1"/>
        </w:rPr>
        <w:t xml:space="preserve">a to konkrétně </w:t>
      </w:r>
      <w:r w:rsidRPr="00C5610A">
        <w:rPr>
          <w:rFonts w:asciiTheme="minorHAnsi" w:hAnsiTheme="minorHAnsi" w:cstheme="minorHAnsi"/>
          <w:color w:val="000000" w:themeColor="text1"/>
        </w:rPr>
        <w:t xml:space="preserve">s klasickými korupčními kauzami vyznačujícími se úplatkářstvím, klientelismem, nehospodárností a neúčelností ve využívání veřejných prostředků. Tyto kauzy pak vytvářejí standardní prostředí fungování veřejných institucí a ovlivňují i mezinárodní srovnání. </w:t>
      </w:r>
    </w:p>
    <w:p w14:paraId="41E1BE45" w14:textId="0AE20CE4" w:rsidR="003478EB" w:rsidRDefault="003478EB" w:rsidP="003478EB">
      <w:pPr>
        <w:pStyle w:val="paragraph"/>
        <w:jc w:val="both"/>
        <w:textAlignment w:val="baseline"/>
        <w:rPr>
          <w:rFonts w:asciiTheme="minorHAnsi" w:hAnsiTheme="minorHAnsi" w:cstheme="minorHAnsi"/>
          <w:color w:val="000000" w:themeColor="text1"/>
        </w:rPr>
      </w:pPr>
      <w:r>
        <w:rPr>
          <w:rFonts w:asciiTheme="minorHAnsi" w:hAnsiTheme="minorHAnsi" w:cstheme="minorHAnsi"/>
          <w:b/>
          <w:bCs/>
          <w:color w:val="000000" w:themeColor="text1"/>
        </w:rPr>
        <w:t>„</w:t>
      </w:r>
      <w:r w:rsidRPr="003478EB">
        <w:rPr>
          <w:rFonts w:asciiTheme="minorHAnsi" w:hAnsiTheme="minorHAnsi" w:cstheme="minorHAnsi"/>
          <w:b/>
          <w:bCs/>
          <w:color w:val="000000" w:themeColor="text1"/>
        </w:rPr>
        <w:t>Stále pokračují dříve známé modely korupčních schémat týkající se dotací a veřejných zakázek. Toto jen ukazuje, jak rozsáhlé a hluboce zakořeněné mohou být organizované skupiny</w:t>
      </w:r>
      <w:r w:rsidR="00C5610A">
        <w:rPr>
          <w:rFonts w:asciiTheme="minorHAnsi" w:hAnsiTheme="minorHAnsi" w:cstheme="minorHAnsi"/>
          <w:b/>
          <w:bCs/>
          <w:color w:val="000000" w:themeColor="text1"/>
        </w:rPr>
        <w:t>, které jsou</w:t>
      </w:r>
      <w:r w:rsidRPr="003478EB">
        <w:rPr>
          <w:rFonts w:asciiTheme="minorHAnsi" w:hAnsiTheme="minorHAnsi" w:cstheme="minorHAnsi"/>
          <w:b/>
          <w:bCs/>
          <w:color w:val="000000" w:themeColor="text1"/>
        </w:rPr>
        <w:t xml:space="preserve"> přisáté na veřejných prostředcích bez ohledu na to, kdo zrovna vládne. Za všechny lze jmenovat kauzy </w:t>
      </w:r>
      <w:r w:rsidR="00C5610A">
        <w:rPr>
          <w:rFonts w:asciiTheme="minorHAnsi" w:hAnsiTheme="minorHAnsi" w:cstheme="minorHAnsi"/>
          <w:b/>
          <w:bCs/>
          <w:color w:val="000000" w:themeColor="text1"/>
        </w:rPr>
        <w:t xml:space="preserve">kolem </w:t>
      </w:r>
      <w:r w:rsidRPr="003478EB">
        <w:rPr>
          <w:rFonts w:asciiTheme="minorHAnsi" w:hAnsiTheme="minorHAnsi" w:cstheme="minorHAnsi"/>
          <w:b/>
          <w:bCs/>
          <w:color w:val="000000" w:themeColor="text1"/>
        </w:rPr>
        <w:t xml:space="preserve">sportovních dotací, brněnskou </w:t>
      </w:r>
      <w:r w:rsidR="00C5610A">
        <w:rPr>
          <w:rFonts w:asciiTheme="minorHAnsi" w:hAnsiTheme="minorHAnsi" w:cstheme="minorHAnsi"/>
          <w:b/>
          <w:bCs/>
          <w:color w:val="000000" w:themeColor="text1"/>
        </w:rPr>
        <w:t>S</w:t>
      </w:r>
      <w:r w:rsidRPr="003478EB">
        <w:rPr>
          <w:rFonts w:asciiTheme="minorHAnsi" w:hAnsiTheme="minorHAnsi" w:cstheme="minorHAnsi"/>
          <w:b/>
          <w:bCs/>
          <w:color w:val="000000" w:themeColor="text1"/>
        </w:rPr>
        <w:t>toku nebo klientelistick</w:t>
      </w:r>
      <w:r w:rsidR="00C5610A">
        <w:rPr>
          <w:rFonts w:asciiTheme="minorHAnsi" w:hAnsiTheme="minorHAnsi" w:cstheme="minorHAnsi"/>
          <w:b/>
          <w:bCs/>
          <w:color w:val="000000" w:themeColor="text1"/>
        </w:rPr>
        <w:t>ou</w:t>
      </w:r>
      <w:r w:rsidRPr="003478EB">
        <w:rPr>
          <w:rFonts w:asciiTheme="minorHAnsi" w:hAnsiTheme="minorHAnsi" w:cstheme="minorHAnsi"/>
          <w:b/>
          <w:bCs/>
          <w:color w:val="000000" w:themeColor="text1"/>
        </w:rPr>
        <w:t xml:space="preserve"> sí</w:t>
      </w:r>
      <w:r w:rsidR="00C5610A">
        <w:rPr>
          <w:rFonts w:asciiTheme="minorHAnsi" w:hAnsiTheme="minorHAnsi" w:cstheme="minorHAnsi"/>
          <w:b/>
          <w:bCs/>
          <w:color w:val="000000" w:themeColor="text1"/>
        </w:rPr>
        <w:t>ť</w:t>
      </w:r>
      <w:r w:rsidRPr="003478EB">
        <w:rPr>
          <w:rFonts w:asciiTheme="minorHAnsi" w:hAnsiTheme="minorHAnsi" w:cstheme="minorHAnsi"/>
          <w:b/>
          <w:bCs/>
          <w:color w:val="000000" w:themeColor="text1"/>
        </w:rPr>
        <w:t xml:space="preserve"> okolo Petra Rafaje,”</w:t>
      </w:r>
      <w:r w:rsidRPr="003478EB">
        <w:rPr>
          <w:rFonts w:asciiTheme="minorHAnsi" w:hAnsiTheme="minorHAnsi" w:cstheme="minorHAnsi"/>
          <w:color w:val="000000" w:themeColor="text1"/>
        </w:rPr>
        <w:t xml:space="preserve"> vysvětluje </w:t>
      </w:r>
      <w:hyperlink r:id="rId16" w:history="1">
        <w:r w:rsidRPr="003478EB">
          <w:rPr>
            <w:rStyle w:val="Hypertextovodkaz"/>
            <w:rFonts w:asciiTheme="minorHAnsi" w:hAnsiTheme="minorHAnsi" w:cstheme="minorHAnsi"/>
            <w:color w:val="0070C0"/>
          </w:rPr>
          <w:t>Jan Dupák</w:t>
        </w:r>
      </w:hyperlink>
      <w:r w:rsidRPr="003478EB">
        <w:rPr>
          <w:rFonts w:asciiTheme="minorHAnsi" w:hAnsiTheme="minorHAnsi" w:cstheme="minorHAnsi"/>
          <w:color w:val="000000" w:themeColor="text1"/>
        </w:rPr>
        <w:t>, právník TI</w:t>
      </w:r>
      <w:r w:rsidR="001E14E0">
        <w:rPr>
          <w:rFonts w:asciiTheme="minorHAnsi" w:hAnsiTheme="minorHAnsi" w:cstheme="minorHAnsi"/>
          <w:color w:val="000000" w:themeColor="text1"/>
        </w:rPr>
        <w:t xml:space="preserve"> ČR</w:t>
      </w:r>
      <w:r w:rsidRPr="003478EB">
        <w:rPr>
          <w:rFonts w:asciiTheme="minorHAnsi" w:hAnsiTheme="minorHAnsi" w:cstheme="minorHAnsi"/>
          <w:color w:val="000000" w:themeColor="text1"/>
        </w:rPr>
        <w:t>.</w:t>
      </w:r>
    </w:p>
    <w:p w14:paraId="1D153AC2" w14:textId="77777777" w:rsidR="00BF7E53" w:rsidRPr="00D423A9" w:rsidRDefault="00BF7E53" w:rsidP="003478EB">
      <w:pPr>
        <w:pStyle w:val="paragraph"/>
        <w:jc w:val="both"/>
        <w:textAlignment w:val="baseline"/>
        <w:rPr>
          <w:rFonts w:asciiTheme="minorHAnsi" w:hAnsiTheme="minorHAnsi" w:cstheme="minorHAnsi"/>
          <w:color w:val="000000" w:themeColor="text1"/>
        </w:rPr>
      </w:pPr>
    </w:p>
    <w:p w14:paraId="153FCC90" w14:textId="527BD33B" w:rsidR="003478EB" w:rsidRPr="003478EB" w:rsidRDefault="003478EB" w:rsidP="003478EB">
      <w:pPr>
        <w:pStyle w:val="paragraph"/>
        <w:jc w:val="both"/>
        <w:textAlignment w:val="baseline"/>
        <w:rPr>
          <w:rFonts w:asciiTheme="minorHAnsi" w:hAnsiTheme="minorHAnsi" w:cstheme="minorHAnsi"/>
          <w:b/>
          <w:bCs/>
          <w:color w:val="808080" w:themeColor="background1" w:themeShade="80"/>
          <w:sz w:val="26"/>
          <w:szCs w:val="26"/>
        </w:rPr>
      </w:pPr>
      <w:r w:rsidRPr="003478EB">
        <w:rPr>
          <w:rFonts w:asciiTheme="minorHAnsi" w:hAnsiTheme="minorHAnsi" w:cstheme="minorHAnsi"/>
          <w:b/>
          <w:bCs/>
          <w:color w:val="808080" w:themeColor="background1" w:themeShade="80"/>
          <w:sz w:val="26"/>
          <w:szCs w:val="26"/>
        </w:rPr>
        <w:lastRenderedPageBreak/>
        <w:t>Dopad Indexu vnímání korupce</w:t>
      </w:r>
    </w:p>
    <w:p w14:paraId="0BDBB70A" w14:textId="502E99FD" w:rsidR="003478EB" w:rsidRDefault="003478EB" w:rsidP="003478EB">
      <w:pPr>
        <w:pStyle w:val="paragraph"/>
        <w:jc w:val="both"/>
        <w:textAlignment w:val="baseline"/>
        <w:rPr>
          <w:rFonts w:asciiTheme="minorHAnsi" w:hAnsiTheme="minorHAnsi" w:cstheme="minorHAnsi"/>
          <w:color w:val="000000" w:themeColor="text1"/>
        </w:rPr>
      </w:pPr>
      <w:r w:rsidRPr="003478EB">
        <w:rPr>
          <w:rFonts w:asciiTheme="minorHAnsi" w:hAnsiTheme="minorHAnsi" w:cstheme="minorHAnsi"/>
          <w:color w:val="000000" w:themeColor="text1"/>
        </w:rPr>
        <w:t>Index vnímání korupce (CPI) je jediným globálním žebříčkem, který měří korupci a porovnává</w:t>
      </w:r>
      <w:r w:rsidR="00695562">
        <w:rPr>
          <w:rFonts w:asciiTheme="minorHAnsi" w:hAnsiTheme="minorHAnsi" w:cstheme="minorHAnsi"/>
          <w:color w:val="000000" w:themeColor="text1"/>
        </w:rPr>
        <w:t xml:space="preserve"> </w:t>
      </w:r>
      <w:r w:rsidRPr="003478EB">
        <w:rPr>
          <w:rFonts w:asciiTheme="minorHAnsi" w:hAnsiTheme="minorHAnsi" w:cstheme="minorHAnsi"/>
          <w:color w:val="000000" w:themeColor="text1"/>
        </w:rPr>
        <w:t>její míru v jednotlivých zemích. Stal se tak nejkomplexnějším a nejcitovanějším korupčním indexem na světě. CPI se primárně zaměřuje na veřejný sektor</w:t>
      </w:r>
      <w:r w:rsidR="00C5610A">
        <w:rPr>
          <w:rFonts w:asciiTheme="minorHAnsi" w:hAnsiTheme="minorHAnsi" w:cstheme="minorHAnsi"/>
          <w:color w:val="000000" w:themeColor="text1"/>
        </w:rPr>
        <w:t xml:space="preserve"> a </w:t>
      </w:r>
      <w:r w:rsidRPr="003478EB">
        <w:rPr>
          <w:rFonts w:asciiTheme="minorHAnsi" w:hAnsiTheme="minorHAnsi" w:cstheme="minorHAnsi"/>
          <w:color w:val="000000" w:themeColor="text1"/>
        </w:rPr>
        <w:t xml:space="preserve">na jednotlivé vlády a administrativu, jak se snaží omezovat korupci, např. formou protikorupční legislativy. </w:t>
      </w:r>
    </w:p>
    <w:p w14:paraId="755C7970" w14:textId="09743449" w:rsidR="003478EB" w:rsidRPr="003478EB" w:rsidRDefault="003478EB" w:rsidP="003478EB">
      <w:pPr>
        <w:pStyle w:val="paragraph"/>
        <w:jc w:val="both"/>
        <w:textAlignment w:val="baseline"/>
        <w:rPr>
          <w:rFonts w:asciiTheme="minorHAnsi" w:hAnsiTheme="minorHAnsi" w:cstheme="minorHAnsi"/>
          <w:color w:val="000000" w:themeColor="text1"/>
        </w:rPr>
      </w:pPr>
      <w:r>
        <w:rPr>
          <w:rFonts w:asciiTheme="minorHAnsi" w:hAnsiTheme="minorHAnsi" w:cstheme="minorHAnsi"/>
          <w:b/>
          <w:bCs/>
          <w:color w:val="000000" w:themeColor="text1"/>
        </w:rPr>
        <w:t>„</w:t>
      </w:r>
      <w:r w:rsidRPr="003478EB">
        <w:rPr>
          <w:rFonts w:asciiTheme="minorHAnsi" w:hAnsiTheme="minorHAnsi" w:cstheme="minorHAnsi"/>
          <w:b/>
          <w:bCs/>
          <w:color w:val="000000" w:themeColor="text1"/>
        </w:rPr>
        <w:t>Problém korupce a jejího vnímání ve společnosti je jedním z důležitých faktorů, podle kterých se hodnotí kvalita institucí v dané zemi. Je stejně důležitá jak pro domácí podnikatelský sektor, tak i pro zahraniční investory,“</w:t>
      </w:r>
      <w:r w:rsidRPr="003478EB">
        <w:rPr>
          <w:rFonts w:asciiTheme="minorHAnsi" w:hAnsiTheme="minorHAnsi" w:cstheme="minorHAnsi"/>
          <w:color w:val="000000" w:themeColor="text1"/>
        </w:rPr>
        <w:t xml:space="preserve"> </w:t>
      </w:r>
      <w:r>
        <w:rPr>
          <w:rFonts w:asciiTheme="minorHAnsi" w:hAnsiTheme="minorHAnsi" w:cstheme="minorHAnsi"/>
          <w:color w:val="000000" w:themeColor="text1"/>
        </w:rPr>
        <w:t>říká</w:t>
      </w:r>
      <w:r w:rsidRPr="003478EB">
        <w:rPr>
          <w:rFonts w:asciiTheme="minorHAnsi" w:hAnsiTheme="minorHAnsi" w:cstheme="minorHAnsi"/>
          <w:color w:val="000000" w:themeColor="text1"/>
        </w:rPr>
        <w:t xml:space="preserve"> </w:t>
      </w:r>
      <w:hyperlink r:id="rId17" w:history="1">
        <w:r w:rsidRPr="003478EB">
          <w:rPr>
            <w:rStyle w:val="Hypertextovodkaz"/>
            <w:rFonts w:asciiTheme="minorHAnsi" w:hAnsiTheme="minorHAnsi" w:cstheme="minorHAnsi"/>
            <w:color w:val="0070C0"/>
          </w:rPr>
          <w:t>Helena Horská</w:t>
        </w:r>
      </w:hyperlink>
      <w:r w:rsidRPr="003478EB">
        <w:rPr>
          <w:rFonts w:asciiTheme="minorHAnsi" w:hAnsiTheme="minorHAnsi" w:cstheme="minorHAnsi"/>
          <w:color w:val="000000" w:themeColor="text1"/>
        </w:rPr>
        <w:t>, hlavní ekonomka Raiffeisenbank ČR.</w:t>
      </w:r>
    </w:p>
    <w:p w14:paraId="18A5C2A4" w14:textId="6CB97963" w:rsidR="003478EB" w:rsidRPr="003478EB" w:rsidRDefault="003478EB" w:rsidP="003478EB">
      <w:pPr>
        <w:pStyle w:val="paragraph"/>
        <w:jc w:val="both"/>
        <w:textAlignment w:val="baseline"/>
        <w:rPr>
          <w:rFonts w:asciiTheme="minorHAnsi" w:hAnsiTheme="minorHAnsi" w:cstheme="minorHAnsi"/>
          <w:color w:val="000000" w:themeColor="text1"/>
        </w:rPr>
      </w:pPr>
      <w:r w:rsidRPr="003478EB">
        <w:rPr>
          <w:rFonts w:asciiTheme="minorHAnsi" w:hAnsiTheme="minorHAnsi" w:cstheme="minorHAnsi"/>
          <w:color w:val="000000" w:themeColor="text1"/>
        </w:rPr>
        <w:t>CPI vystavuje jednotlivým zemím pomyslné vysvědčení o korupci, které slouží nejen k vzájemnému porovnání, ale také jako impuls k možnému zlepšení.</w:t>
      </w:r>
      <w:r w:rsidR="00C5610A">
        <w:rPr>
          <w:rFonts w:asciiTheme="minorHAnsi" w:hAnsiTheme="minorHAnsi" w:cstheme="minorHAnsi"/>
          <w:color w:val="000000" w:themeColor="text1"/>
        </w:rPr>
        <w:t xml:space="preserve"> </w:t>
      </w:r>
      <w:r w:rsidRPr="003478EB">
        <w:rPr>
          <w:rFonts w:asciiTheme="minorHAnsi" w:hAnsiTheme="minorHAnsi" w:cstheme="minorHAnsi"/>
          <w:color w:val="000000" w:themeColor="text1"/>
        </w:rPr>
        <w:t>Index je také hojně využíván soukromým sektorem, pro který je cenným zdrojem validních dat o ekonomické a právní stabilitě prostředí v dané zemi, a tudíž slouží jako vodítko pro manažerské rozhodování.</w:t>
      </w:r>
    </w:p>
    <w:p w14:paraId="2534E3C6" w14:textId="6C296C35" w:rsidR="00D423A9" w:rsidRDefault="003478EB" w:rsidP="003478EB">
      <w:pPr>
        <w:pStyle w:val="paragraph"/>
        <w:spacing w:before="0" w:beforeAutospacing="0" w:after="0" w:afterAutospacing="0"/>
        <w:jc w:val="both"/>
        <w:textAlignment w:val="baseline"/>
        <w:rPr>
          <w:rFonts w:asciiTheme="minorHAnsi" w:hAnsiTheme="minorHAnsi" w:cstheme="minorHAnsi"/>
          <w:color w:val="000000" w:themeColor="text1"/>
        </w:rPr>
      </w:pPr>
      <w:r w:rsidRPr="003478EB">
        <w:rPr>
          <w:rFonts w:asciiTheme="minorHAnsi" w:hAnsiTheme="minorHAnsi" w:cstheme="minorHAnsi"/>
          <w:b/>
          <w:bCs/>
          <w:color w:val="000000" w:themeColor="text1"/>
        </w:rPr>
        <w:t>„Pokud chceme, aby se naše ekonomika přibližovala vyspělým ekonomikám a nevzdalovala</w:t>
      </w:r>
      <w:r>
        <w:rPr>
          <w:rFonts w:asciiTheme="minorHAnsi" w:hAnsiTheme="minorHAnsi" w:cstheme="minorHAnsi"/>
          <w:b/>
          <w:bCs/>
          <w:color w:val="000000" w:themeColor="text1"/>
        </w:rPr>
        <w:t xml:space="preserve"> se</w:t>
      </w:r>
      <w:r w:rsidRPr="003478EB">
        <w:rPr>
          <w:rFonts w:asciiTheme="minorHAnsi" w:hAnsiTheme="minorHAnsi" w:cstheme="minorHAnsi"/>
          <w:b/>
          <w:bCs/>
          <w:color w:val="000000" w:themeColor="text1"/>
        </w:rPr>
        <w:t>, budeme muset hledat nový vhodný model ekonomického růstu, který postavíme na kvalitních a nekorumpovatelných institucích. Pandemie COVID-19 nám jen připomněla, jak kvalita institucí, správy věcí veřejných a budování důvěry občanů ve stát je pro prosperitu země klíčová,”</w:t>
      </w:r>
      <w:r w:rsidRPr="003478EB">
        <w:rPr>
          <w:rFonts w:asciiTheme="minorHAnsi" w:hAnsiTheme="minorHAnsi" w:cstheme="minorHAnsi"/>
          <w:color w:val="000000" w:themeColor="text1"/>
        </w:rPr>
        <w:t xml:space="preserve"> </w:t>
      </w:r>
      <w:r>
        <w:rPr>
          <w:rFonts w:asciiTheme="minorHAnsi" w:hAnsiTheme="minorHAnsi" w:cstheme="minorHAnsi"/>
          <w:color w:val="000000" w:themeColor="text1"/>
        </w:rPr>
        <w:t>objasňuje Helena Horská.</w:t>
      </w:r>
    </w:p>
    <w:p w14:paraId="1737AFD7" w14:textId="777D56B8" w:rsidR="00F63BB6" w:rsidRPr="00F63BB6" w:rsidRDefault="00F63BB6" w:rsidP="00F63BB6">
      <w:pPr>
        <w:pStyle w:val="paragraph"/>
        <w:jc w:val="both"/>
        <w:textAlignment w:val="baseline"/>
        <w:rPr>
          <w:rFonts w:asciiTheme="minorHAnsi" w:hAnsiTheme="minorHAnsi" w:cstheme="minorHAnsi"/>
          <w:color w:val="000000" w:themeColor="text1"/>
        </w:rPr>
      </w:pPr>
      <w:r w:rsidRPr="00F63BB6">
        <w:rPr>
          <w:rFonts w:asciiTheme="minorHAnsi" w:hAnsiTheme="minorHAnsi" w:cstheme="minorHAnsi"/>
          <w:b/>
          <w:bCs/>
          <w:color w:val="808080" w:themeColor="background1" w:themeShade="80"/>
          <w:sz w:val="26"/>
          <w:szCs w:val="26"/>
        </w:rPr>
        <w:t>Návod na zlepšení</w:t>
      </w:r>
    </w:p>
    <w:p w14:paraId="4E619B94" w14:textId="77777777" w:rsidR="00F63BB6" w:rsidRPr="00F63BB6" w:rsidRDefault="00F63BB6" w:rsidP="00F63BB6">
      <w:pPr>
        <w:pStyle w:val="paragraph"/>
        <w:ind w:firstLine="426"/>
        <w:jc w:val="both"/>
        <w:textAlignment w:val="baseline"/>
        <w:rPr>
          <w:rFonts w:asciiTheme="minorHAnsi" w:hAnsiTheme="minorHAnsi" w:cstheme="minorHAnsi"/>
          <w:b/>
          <w:bCs/>
          <w:color w:val="000000" w:themeColor="text1"/>
        </w:rPr>
      </w:pPr>
      <w:r w:rsidRPr="00F63BB6">
        <w:rPr>
          <w:rFonts w:asciiTheme="minorHAnsi" w:hAnsiTheme="minorHAnsi" w:cstheme="minorHAnsi"/>
          <w:b/>
          <w:bCs/>
          <w:color w:val="000000" w:themeColor="text1"/>
        </w:rPr>
        <w:t>1.</w:t>
      </w:r>
      <w:r w:rsidRPr="00F63BB6">
        <w:rPr>
          <w:rFonts w:asciiTheme="minorHAnsi" w:hAnsiTheme="minorHAnsi" w:cstheme="minorHAnsi"/>
          <w:b/>
          <w:bCs/>
          <w:color w:val="000000" w:themeColor="text1"/>
        </w:rPr>
        <w:tab/>
        <w:t>Urychlené přijetí protikorupčních opatření a odmítnutí snah o rozvolnění systému</w:t>
      </w:r>
    </w:p>
    <w:p w14:paraId="6972048C" w14:textId="0E50C1DB" w:rsidR="00F63BB6" w:rsidRPr="00F63BB6" w:rsidRDefault="00F63BB6" w:rsidP="00F63BB6">
      <w:pPr>
        <w:pStyle w:val="paragraph"/>
        <w:jc w:val="both"/>
        <w:textAlignment w:val="baseline"/>
        <w:rPr>
          <w:rFonts w:asciiTheme="minorHAnsi" w:hAnsiTheme="minorHAnsi" w:cstheme="minorHAnsi"/>
          <w:color w:val="000000" w:themeColor="text1"/>
        </w:rPr>
      </w:pPr>
      <w:r w:rsidRPr="00F63BB6">
        <w:rPr>
          <w:rFonts w:asciiTheme="minorHAnsi" w:hAnsiTheme="minorHAnsi" w:cstheme="minorHAnsi"/>
          <w:color w:val="000000" w:themeColor="text1"/>
        </w:rPr>
        <w:t xml:space="preserve">Česká republika by měla naplnit závazky, ve kterých dlouhodobě zaostává (viz Skupina států proti korupci </w:t>
      </w:r>
      <w:hyperlink r:id="rId18" w:history="1">
        <w:r w:rsidRPr="001E14E0">
          <w:rPr>
            <w:rStyle w:val="Hypertextovodkaz"/>
            <w:rFonts w:asciiTheme="minorHAnsi" w:hAnsiTheme="minorHAnsi" w:cstheme="minorHAnsi"/>
            <w:color w:val="0070C0"/>
          </w:rPr>
          <w:t>GRECO</w:t>
        </w:r>
      </w:hyperlink>
      <w:r w:rsidRPr="00F63BB6">
        <w:rPr>
          <w:rFonts w:asciiTheme="minorHAnsi" w:hAnsiTheme="minorHAnsi" w:cstheme="minorHAnsi"/>
          <w:color w:val="000000" w:themeColor="text1"/>
        </w:rPr>
        <w:t xml:space="preserve">) a obecně aspirovat na vyšší standardy protikorupčních opatření, nikoliv jen </w:t>
      </w:r>
      <w:r w:rsidR="00C5610A">
        <w:rPr>
          <w:rFonts w:asciiTheme="minorHAnsi" w:hAnsiTheme="minorHAnsi" w:cstheme="minorHAnsi"/>
          <w:color w:val="000000" w:themeColor="text1"/>
        </w:rPr>
        <w:t xml:space="preserve">na </w:t>
      </w:r>
      <w:r w:rsidRPr="00F63BB6">
        <w:rPr>
          <w:rFonts w:asciiTheme="minorHAnsi" w:hAnsiTheme="minorHAnsi" w:cstheme="minorHAnsi"/>
          <w:color w:val="000000" w:themeColor="text1"/>
        </w:rPr>
        <w:t xml:space="preserve">nutné minimum (viz </w:t>
      </w:r>
      <w:hyperlink r:id="rId19" w:history="1">
        <w:r w:rsidRPr="001E14E0">
          <w:rPr>
            <w:rStyle w:val="Hypertextovodkaz"/>
            <w:rFonts w:asciiTheme="minorHAnsi" w:hAnsiTheme="minorHAnsi" w:cstheme="minorHAnsi"/>
            <w:color w:val="0070C0"/>
          </w:rPr>
          <w:t>Evropská komise</w:t>
        </w:r>
      </w:hyperlink>
      <w:r w:rsidRPr="00F63BB6">
        <w:rPr>
          <w:rFonts w:asciiTheme="minorHAnsi" w:hAnsiTheme="minorHAnsi" w:cstheme="minorHAnsi"/>
          <w:color w:val="000000" w:themeColor="text1"/>
        </w:rPr>
        <w:t>). Opět jsme také svědky snah o oklešťování již zaběhlých pravidel, např</w:t>
      </w:r>
      <w:r w:rsidR="00C5610A">
        <w:rPr>
          <w:rFonts w:asciiTheme="minorHAnsi" w:hAnsiTheme="minorHAnsi" w:cstheme="minorHAnsi"/>
          <w:color w:val="000000" w:themeColor="text1"/>
        </w:rPr>
        <w:t xml:space="preserve">. </w:t>
      </w:r>
      <w:r w:rsidRPr="00F63BB6">
        <w:rPr>
          <w:rFonts w:asciiTheme="minorHAnsi" w:hAnsiTheme="minorHAnsi" w:cstheme="minorHAnsi"/>
          <w:color w:val="000000" w:themeColor="text1"/>
        </w:rPr>
        <w:t>v přístupu k informacím, v</w:t>
      </w:r>
      <w:r w:rsidR="00C131C2">
        <w:rPr>
          <w:rFonts w:asciiTheme="minorHAnsi" w:hAnsiTheme="minorHAnsi" w:cstheme="minorHAnsi"/>
          <w:color w:val="000000" w:themeColor="text1"/>
        </w:rPr>
        <w:t>e</w:t>
      </w:r>
      <w:r w:rsidRPr="00F63BB6">
        <w:rPr>
          <w:rFonts w:asciiTheme="minorHAnsi" w:hAnsiTheme="minorHAnsi" w:cstheme="minorHAnsi"/>
          <w:color w:val="000000" w:themeColor="text1"/>
        </w:rPr>
        <w:t xml:space="preserve"> schváleném snížení přístupnosti k majetkovým přiznáním veřejných funkcionářů nebo v zamýšleném oslabení zákona o evidenci skutečných majitelů, kde se </w:t>
      </w:r>
      <w:r w:rsidR="00C131C2">
        <w:rPr>
          <w:rFonts w:asciiTheme="minorHAnsi" w:hAnsiTheme="minorHAnsi" w:cstheme="minorHAnsi"/>
          <w:color w:val="000000" w:themeColor="text1"/>
        </w:rPr>
        <w:t>ale</w:t>
      </w:r>
      <w:r w:rsidRPr="00F63BB6">
        <w:rPr>
          <w:rFonts w:asciiTheme="minorHAnsi" w:hAnsiTheme="minorHAnsi" w:cstheme="minorHAnsi"/>
          <w:color w:val="000000" w:themeColor="text1"/>
        </w:rPr>
        <w:t xml:space="preserve"> podařilo</w:t>
      </w:r>
      <w:r w:rsidR="00C131C2">
        <w:rPr>
          <w:rFonts w:asciiTheme="minorHAnsi" w:hAnsiTheme="minorHAnsi" w:cstheme="minorHAnsi"/>
          <w:color w:val="000000" w:themeColor="text1"/>
        </w:rPr>
        <w:t>,</w:t>
      </w:r>
      <w:r w:rsidRPr="00F63BB6">
        <w:rPr>
          <w:rFonts w:asciiTheme="minorHAnsi" w:hAnsiTheme="minorHAnsi" w:cstheme="minorHAnsi"/>
          <w:color w:val="000000" w:themeColor="text1"/>
        </w:rPr>
        <w:t xml:space="preserve"> i díky tlaku TI</w:t>
      </w:r>
      <w:r w:rsidR="00C131C2">
        <w:rPr>
          <w:rFonts w:asciiTheme="minorHAnsi" w:hAnsiTheme="minorHAnsi" w:cstheme="minorHAnsi"/>
          <w:color w:val="000000" w:themeColor="text1"/>
        </w:rPr>
        <w:t>,</w:t>
      </w:r>
      <w:r w:rsidRPr="00F63BB6">
        <w:rPr>
          <w:rFonts w:asciiTheme="minorHAnsi" w:hAnsiTheme="minorHAnsi" w:cstheme="minorHAnsi"/>
          <w:color w:val="000000" w:themeColor="text1"/>
        </w:rPr>
        <w:t xml:space="preserve"> odstranit problematické odstavce.</w:t>
      </w:r>
    </w:p>
    <w:p w14:paraId="56255AFB" w14:textId="77777777" w:rsidR="00F63BB6" w:rsidRPr="00F63BB6" w:rsidRDefault="00F63BB6" w:rsidP="00F63BB6">
      <w:pPr>
        <w:pStyle w:val="paragraph"/>
        <w:ind w:firstLine="426"/>
        <w:jc w:val="both"/>
        <w:textAlignment w:val="baseline"/>
        <w:rPr>
          <w:rFonts w:asciiTheme="minorHAnsi" w:hAnsiTheme="minorHAnsi" w:cstheme="minorHAnsi"/>
          <w:b/>
          <w:bCs/>
          <w:color w:val="000000" w:themeColor="text1"/>
        </w:rPr>
      </w:pPr>
      <w:r w:rsidRPr="00F63BB6">
        <w:rPr>
          <w:rFonts w:asciiTheme="minorHAnsi" w:hAnsiTheme="minorHAnsi" w:cstheme="minorHAnsi"/>
          <w:b/>
          <w:bCs/>
          <w:color w:val="000000" w:themeColor="text1"/>
        </w:rPr>
        <w:t>2.</w:t>
      </w:r>
      <w:r w:rsidRPr="00F63BB6">
        <w:rPr>
          <w:rFonts w:asciiTheme="minorHAnsi" w:hAnsiTheme="minorHAnsi" w:cstheme="minorHAnsi"/>
          <w:b/>
          <w:bCs/>
          <w:color w:val="000000" w:themeColor="text1"/>
        </w:rPr>
        <w:tab/>
        <w:t>Revize služebního zákona</w:t>
      </w:r>
    </w:p>
    <w:p w14:paraId="5770B5BD" w14:textId="2570630A" w:rsidR="00F63BB6" w:rsidRPr="00F63BB6" w:rsidRDefault="00F63BB6" w:rsidP="00F63BB6">
      <w:pPr>
        <w:pStyle w:val="paragraph"/>
        <w:jc w:val="both"/>
        <w:textAlignment w:val="baseline"/>
        <w:rPr>
          <w:rFonts w:asciiTheme="minorHAnsi" w:hAnsiTheme="minorHAnsi" w:cstheme="minorHAnsi"/>
          <w:color w:val="000000" w:themeColor="text1"/>
        </w:rPr>
      </w:pPr>
      <w:r w:rsidRPr="00F63BB6">
        <w:rPr>
          <w:rFonts w:asciiTheme="minorHAnsi" w:hAnsiTheme="minorHAnsi" w:cstheme="minorHAnsi"/>
          <w:color w:val="000000" w:themeColor="text1"/>
        </w:rPr>
        <w:t>Od jeho přijetí v roce 2014 nedosáhl svých cílů a brání efektivnímu řešení důležitých strategických úkolů státní správy. Mělo by dojít k posílení nezávislosti státní služby na politických vlivech. Digitalizace a rušení zbytečných byrokratických povinností je základním předpokladem budoucího rozvoje České republiky.</w:t>
      </w:r>
    </w:p>
    <w:p w14:paraId="19F8F0A6" w14:textId="77777777" w:rsidR="00F63BB6" w:rsidRPr="00F63BB6" w:rsidRDefault="00F63BB6" w:rsidP="00F63BB6">
      <w:pPr>
        <w:pStyle w:val="paragraph"/>
        <w:ind w:firstLine="426"/>
        <w:jc w:val="both"/>
        <w:textAlignment w:val="baseline"/>
        <w:rPr>
          <w:rFonts w:asciiTheme="minorHAnsi" w:hAnsiTheme="minorHAnsi" w:cstheme="minorHAnsi"/>
          <w:b/>
          <w:bCs/>
          <w:color w:val="000000" w:themeColor="text1"/>
        </w:rPr>
      </w:pPr>
      <w:r w:rsidRPr="00F63BB6">
        <w:rPr>
          <w:rFonts w:asciiTheme="minorHAnsi" w:hAnsiTheme="minorHAnsi" w:cstheme="minorHAnsi"/>
          <w:b/>
          <w:bCs/>
          <w:color w:val="000000" w:themeColor="text1"/>
        </w:rPr>
        <w:t>3.</w:t>
      </w:r>
      <w:r w:rsidRPr="00F63BB6">
        <w:rPr>
          <w:rFonts w:asciiTheme="minorHAnsi" w:hAnsiTheme="minorHAnsi" w:cstheme="minorHAnsi"/>
          <w:b/>
          <w:bCs/>
          <w:color w:val="000000" w:themeColor="text1"/>
        </w:rPr>
        <w:tab/>
        <w:t xml:space="preserve">Posílení dohledových státních úřadů </w:t>
      </w:r>
    </w:p>
    <w:p w14:paraId="4BABE5C8" w14:textId="63944C46" w:rsidR="00F63BB6" w:rsidRPr="00F63BB6" w:rsidRDefault="00F63BB6" w:rsidP="00F63BB6">
      <w:pPr>
        <w:pStyle w:val="paragraph"/>
        <w:jc w:val="both"/>
        <w:textAlignment w:val="baseline"/>
        <w:rPr>
          <w:rFonts w:asciiTheme="minorHAnsi" w:hAnsiTheme="minorHAnsi" w:cstheme="minorHAnsi"/>
          <w:color w:val="000000" w:themeColor="text1"/>
        </w:rPr>
      </w:pPr>
      <w:r w:rsidRPr="00F63BB6">
        <w:rPr>
          <w:rFonts w:asciiTheme="minorHAnsi" w:hAnsiTheme="minorHAnsi" w:cstheme="minorHAnsi"/>
          <w:color w:val="000000" w:themeColor="text1"/>
        </w:rPr>
        <w:t xml:space="preserve">Dohledové státní úřady musí vést lidé schopní nejenom ve svém oboru, ale také v odolávání politickým a byznysovým tlakům. Instituce jako Úřad pro dohled nad hospodařením politických stran a politických hnutí, Úřad pro ochranu hospodářské soutěže nebo Národní </w:t>
      </w:r>
      <w:r w:rsidRPr="00F63BB6">
        <w:rPr>
          <w:rFonts w:asciiTheme="minorHAnsi" w:hAnsiTheme="minorHAnsi" w:cstheme="minorHAnsi"/>
          <w:color w:val="000000" w:themeColor="text1"/>
        </w:rPr>
        <w:lastRenderedPageBreak/>
        <w:t>sportovní agentura mají klíčovou roli ve fungování veřejné správy, musí fungovat s vizí, nezávisle a odborně.</w:t>
      </w:r>
    </w:p>
    <w:p w14:paraId="0282E992" w14:textId="4B3F0ADF" w:rsidR="00F63BB6" w:rsidRPr="00F63BB6" w:rsidRDefault="00F63BB6" w:rsidP="00F63BB6">
      <w:pPr>
        <w:pStyle w:val="paragraph"/>
        <w:ind w:firstLine="426"/>
        <w:jc w:val="both"/>
        <w:textAlignment w:val="baseline"/>
        <w:rPr>
          <w:rFonts w:asciiTheme="minorHAnsi" w:hAnsiTheme="minorHAnsi" w:cstheme="minorHAnsi"/>
          <w:b/>
          <w:bCs/>
          <w:color w:val="000000" w:themeColor="text1"/>
        </w:rPr>
      </w:pPr>
      <w:r w:rsidRPr="00F63BB6">
        <w:rPr>
          <w:rFonts w:asciiTheme="minorHAnsi" w:hAnsiTheme="minorHAnsi" w:cstheme="minorHAnsi"/>
          <w:b/>
          <w:bCs/>
          <w:color w:val="000000" w:themeColor="text1"/>
        </w:rPr>
        <w:t>4.</w:t>
      </w:r>
      <w:r w:rsidRPr="00F63BB6">
        <w:rPr>
          <w:rFonts w:asciiTheme="minorHAnsi" w:hAnsiTheme="minorHAnsi" w:cstheme="minorHAnsi"/>
          <w:b/>
          <w:bCs/>
          <w:color w:val="000000" w:themeColor="text1"/>
        </w:rPr>
        <w:tab/>
        <w:t>Regulace lobbingu</w:t>
      </w:r>
    </w:p>
    <w:p w14:paraId="0E4E1071" w14:textId="759AED3A" w:rsidR="00F63BB6" w:rsidRPr="00F63BB6" w:rsidRDefault="00F63BB6" w:rsidP="00F63BB6">
      <w:pPr>
        <w:pStyle w:val="paragraph"/>
        <w:jc w:val="both"/>
        <w:textAlignment w:val="baseline"/>
        <w:rPr>
          <w:rFonts w:asciiTheme="minorHAnsi" w:hAnsiTheme="minorHAnsi" w:cstheme="minorHAnsi"/>
          <w:color w:val="000000" w:themeColor="text1"/>
        </w:rPr>
      </w:pPr>
      <w:r w:rsidRPr="00F63BB6">
        <w:rPr>
          <w:rFonts w:asciiTheme="minorHAnsi" w:hAnsiTheme="minorHAnsi" w:cstheme="minorHAnsi"/>
          <w:color w:val="000000" w:themeColor="text1"/>
        </w:rPr>
        <w:t xml:space="preserve">Faktorem, který měl také vliv na propad ČR v celkovém skóre CPI a který se vyskytuje napříč dílčími indexy, je dlouhodobě chybějící regulace lobbingu. Návrh zákona o lobbování se v roce 2020 poprvé dostal do Sněmovny, je však stále méně pravděpodobné, že by ho současná vláda ještě stihla přijmout.  </w:t>
      </w:r>
    </w:p>
    <w:p w14:paraId="6AE87A08" w14:textId="79547FA7" w:rsidR="00F63BB6" w:rsidRDefault="00F63BB6" w:rsidP="00F63BB6">
      <w:pPr>
        <w:pStyle w:val="paragraph"/>
        <w:spacing w:before="0" w:beforeAutospacing="0" w:after="0" w:afterAutospacing="0"/>
        <w:jc w:val="both"/>
        <w:textAlignment w:val="baseline"/>
        <w:rPr>
          <w:rFonts w:asciiTheme="minorHAnsi" w:hAnsiTheme="minorHAnsi" w:cstheme="minorHAnsi"/>
          <w:color w:val="000000" w:themeColor="text1"/>
        </w:rPr>
      </w:pPr>
      <w:r w:rsidRPr="00F63BB6">
        <w:rPr>
          <w:rFonts w:asciiTheme="minorHAnsi" w:hAnsiTheme="minorHAnsi" w:cstheme="minorHAnsi"/>
          <w:b/>
          <w:bCs/>
          <w:color w:val="000000" w:themeColor="text1"/>
        </w:rPr>
        <w:t>„Regulace lobbingu by měla být jedním za základních kamenů transparentního legislativního procesu. Občané mají právo vědět, kdo stojí za mnohými zákony a novelami, které ovlivňují jejich každodenní život a veřejné rozpočty. Ať už jde o lobby exekutorů, odpadovou nebo třeba farmaceutickou</w:t>
      </w:r>
      <w:r w:rsidR="00C131C2">
        <w:rPr>
          <w:rFonts w:asciiTheme="minorHAnsi" w:hAnsiTheme="minorHAnsi" w:cstheme="minorHAnsi"/>
          <w:b/>
          <w:bCs/>
          <w:color w:val="000000" w:themeColor="text1"/>
        </w:rPr>
        <w:t>.</w:t>
      </w:r>
      <w:r w:rsidRPr="00F63BB6">
        <w:rPr>
          <w:rFonts w:asciiTheme="minorHAnsi" w:hAnsiTheme="minorHAnsi" w:cstheme="minorHAnsi"/>
          <w:b/>
          <w:bCs/>
          <w:color w:val="000000" w:themeColor="text1"/>
        </w:rPr>
        <w:t xml:space="preserve"> </w:t>
      </w:r>
      <w:r w:rsidR="00C131C2">
        <w:rPr>
          <w:rFonts w:asciiTheme="minorHAnsi" w:hAnsiTheme="minorHAnsi" w:cstheme="minorHAnsi"/>
          <w:b/>
          <w:bCs/>
          <w:color w:val="000000" w:themeColor="text1"/>
        </w:rPr>
        <w:t>P</w:t>
      </w:r>
      <w:r w:rsidRPr="00F63BB6">
        <w:rPr>
          <w:rFonts w:asciiTheme="minorHAnsi" w:hAnsiTheme="minorHAnsi" w:cstheme="minorHAnsi"/>
          <w:b/>
          <w:bCs/>
          <w:color w:val="000000" w:themeColor="text1"/>
        </w:rPr>
        <w:t>eníze a zákulisní vlivy určují směřování společnosti bez jejího dohledu,”</w:t>
      </w:r>
      <w:r w:rsidRPr="00F63BB6">
        <w:rPr>
          <w:rFonts w:asciiTheme="minorHAnsi" w:hAnsiTheme="minorHAnsi" w:cstheme="minorHAnsi"/>
          <w:color w:val="000000" w:themeColor="text1"/>
        </w:rPr>
        <w:t xml:space="preserve"> říká </w:t>
      </w:r>
      <w:hyperlink r:id="rId20" w:history="1">
        <w:r w:rsidRPr="00F63BB6">
          <w:rPr>
            <w:rStyle w:val="Hypertextovodkaz"/>
            <w:rFonts w:asciiTheme="minorHAnsi" w:hAnsiTheme="minorHAnsi" w:cstheme="minorHAnsi"/>
            <w:color w:val="0070C0"/>
          </w:rPr>
          <w:t>Pavel Jiříček</w:t>
        </w:r>
      </w:hyperlink>
      <w:r w:rsidRPr="00F63BB6">
        <w:rPr>
          <w:rFonts w:asciiTheme="minorHAnsi" w:hAnsiTheme="minorHAnsi" w:cstheme="minorHAnsi"/>
          <w:color w:val="000000" w:themeColor="text1"/>
        </w:rPr>
        <w:t>, právník TI ČR.</w:t>
      </w:r>
    </w:p>
    <w:p w14:paraId="67C44282" w14:textId="5A6B1CF1" w:rsidR="001E14E0" w:rsidRPr="001E14E0" w:rsidRDefault="001E14E0" w:rsidP="001E14E0">
      <w:pPr>
        <w:pStyle w:val="paragraph"/>
        <w:jc w:val="both"/>
        <w:textAlignment w:val="baseline"/>
        <w:rPr>
          <w:rFonts w:asciiTheme="minorHAnsi" w:hAnsiTheme="minorHAnsi" w:cstheme="minorHAnsi"/>
          <w:color w:val="000000" w:themeColor="text1"/>
        </w:rPr>
      </w:pPr>
      <w:r w:rsidRPr="001E14E0">
        <w:rPr>
          <w:rFonts w:asciiTheme="minorHAnsi" w:hAnsiTheme="minorHAnsi" w:cstheme="minorHAnsi"/>
          <w:b/>
          <w:bCs/>
          <w:color w:val="808080" w:themeColor="background1" w:themeShade="80"/>
          <w:sz w:val="26"/>
          <w:szCs w:val="26"/>
        </w:rPr>
        <w:t>Jak rozumět Indexu vnímání korupce</w:t>
      </w:r>
    </w:p>
    <w:p w14:paraId="6F386637" w14:textId="77777777" w:rsidR="001E14E0" w:rsidRPr="001E14E0" w:rsidRDefault="001E14E0" w:rsidP="001E14E0">
      <w:pPr>
        <w:pStyle w:val="paragraph"/>
        <w:jc w:val="both"/>
        <w:textAlignment w:val="baseline"/>
        <w:rPr>
          <w:rFonts w:asciiTheme="minorHAnsi" w:hAnsiTheme="minorHAnsi" w:cstheme="minorHAnsi"/>
          <w:color w:val="000000" w:themeColor="text1"/>
        </w:rPr>
      </w:pPr>
      <w:r w:rsidRPr="001E14E0">
        <w:rPr>
          <w:rFonts w:asciiTheme="minorHAnsi" w:hAnsiTheme="minorHAnsi" w:cstheme="minorHAnsi"/>
          <w:b/>
          <w:bCs/>
          <w:color w:val="000000" w:themeColor="text1"/>
        </w:rPr>
        <w:t>Index vnímání korupce (</w:t>
      </w:r>
      <w:proofErr w:type="spellStart"/>
      <w:r w:rsidRPr="001E14E0">
        <w:rPr>
          <w:rFonts w:asciiTheme="minorHAnsi" w:hAnsiTheme="minorHAnsi" w:cstheme="minorHAnsi"/>
          <w:b/>
          <w:bCs/>
          <w:color w:val="000000" w:themeColor="text1"/>
        </w:rPr>
        <w:t>Corruption</w:t>
      </w:r>
      <w:proofErr w:type="spellEnd"/>
      <w:r w:rsidRPr="001E14E0">
        <w:rPr>
          <w:rFonts w:asciiTheme="minorHAnsi" w:hAnsiTheme="minorHAnsi" w:cstheme="minorHAnsi"/>
          <w:b/>
          <w:bCs/>
          <w:color w:val="000000" w:themeColor="text1"/>
        </w:rPr>
        <w:t xml:space="preserve"> </w:t>
      </w:r>
      <w:proofErr w:type="spellStart"/>
      <w:r w:rsidRPr="001E14E0">
        <w:rPr>
          <w:rFonts w:asciiTheme="minorHAnsi" w:hAnsiTheme="minorHAnsi" w:cstheme="minorHAnsi"/>
          <w:b/>
          <w:bCs/>
          <w:color w:val="000000" w:themeColor="text1"/>
        </w:rPr>
        <w:t>Perceptions</w:t>
      </w:r>
      <w:proofErr w:type="spellEnd"/>
      <w:r w:rsidRPr="001E14E0">
        <w:rPr>
          <w:rFonts w:asciiTheme="minorHAnsi" w:hAnsiTheme="minorHAnsi" w:cstheme="minorHAnsi"/>
          <w:b/>
          <w:bCs/>
          <w:color w:val="000000" w:themeColor="text1"/>
        </w:rPr>
        <w:t xml:space="preserve"> Index, CPI) zveřejňuje mezinárodní nevládní organizace Transparency International (TI) od roku 1995.</w:t>
      </w:r>
      <w:r w:rsidRPr="001E14E0">
        <w:rPr>
          <w:rFonts w:asciiTheme="minorHAnsi" w:hAnsiTheme="minorHAnsi" w:cstheme="minorHAnsi"/>
          <w:color w:val="000000" w:themeColor="text1"/>
        </w:rPr>
        <w:t xml:space="preserve"> Index řadí země podle stupně vnímání korupce ve veřejném sektoru a podnikání s použitím stupnice 0–100, kde 100 bodů označuje zemi téměř bez korupce a 0 bodů znamená vysokou míru korupce. Počet zemí se rok od roku mírně mění. Letos se jich hodnotilo celkem 180.</w:t>
      </w:r>
    </w:p>
    <w:p w14:paraId="722EBD74" w14:textId="5A4237EB" w:rsidR="001E14E0" w:rsidRPr="001E14E0" w:rsidRDefault="001E14E0" w:rsidP="001E14E0">
      <w:pPr>
        <w:pStyle w:val="paragraph"/>
        <w:jc w:val="both"/>
        <w:textAlignment w:val="baseline"/>
        <w:rPr>
          <w:rFonts w:asciiTheme="minorHAnsi" w:hAnsiTheme="minorHAnsi" w:cstheme="minorHAnsi"/>
          <w:color w:val="000000" w:themeColor="text1"/>
        </w:rPr>
      </w:pPr>
      <w:r w:rsidRPr="001E14E0">
        <w:rPr>
          <w:rFonts w:asciiTheme="minorHAnsi" w:hAnsiTheme="minorHAnsi" w:cstheme="minorHAnsi"/>
          <w:b/>
          <w:bCs/>
          <w:color w:val="000000" w:themeColor="text1"/>
        </w:rPr>
        <w:t>Žebříček je sestavován na základě výsledků průzkumů mezi experty, nejedná se tedy o vox populi</w:t>
      </w:r>
      <w:r w:rsidRPr="001E14E0">
        <w:rPr>
          <w:rFonts w:asciiTheme="minorHAnsi" w:hAnsiTheme="minorHAnsi" w:cstheme="minorHAnsi"/>
          <w:color w:val="000000" w:themeColor="text1"/>
        </w:rPr>
        <w:t xml:space="preserve">, v nichž respondenti (ať již jednotlivci či organizace) hodnotí mj. schopnost vládních institucí potlačovat a postihovat korupci, účinnost protikorupčních opatření, rozsah korupce v různých oblastech veřejné správy, míru transparentnosti jejího fungování a míru zneužívání veřejných funkcí a veřejných prostředků. </w:t>
      </w:r>
    </w:p>
    <w:p w14:paraId="23D6B61D" w14:textId="39682191" w:rsidR="001E14E0" w:rsidRPr="001E14E0" w:rsidRDefault="001E14E0" w:rsidP="001E14E0">
      <w:pPr>
        <w:pStyle w:val="paragraph"/>
        <w:jc w:val="both"/>
        <w:textAlignment w:val="baseline"/>
        <w:rPr>
          <w:rFonts w:asciiTheme="minorHAnsi" w:hAnsiTheme="minorHAnsi" w:cstheme="minorHAnsi"/>
          <w:color w:val="000000" w:themeColor="text1"/>
        </w:rPr>
      </w:pPr>
      <w:r w:rsidRPr="001E14E0">
        <w:rPr>
          <w:rFonts w:asciiTheme="minorHAnsi" w:hAnsiTheme="minorHAnsi" w:cstheme="minorHAnsi"/>
          <w:color w:val="000000" w:themeColor="text1"/>
        </w:rPr>
        <w:t xml:space="preserve">Jednotlivé průzkumy provádí nezávisle na sobě dvanáct mezinárodních odborných organizací ve třinácti žebříčcích, ačkoliv ne ve všech státech jich vždy „operuje“ plná sestava. Získaná data poté poskytnou TI. Kombinací těchto indexů vzniká konečná hodnota CPI.  </w:t>
      </w:r>
    </w:p>
    <w:p w14:paraId="6C0D4ED6" w14:textId="6ADC806E" w:rsidR="001E14E0" w:rsidRPr="001E14E0" w:rsidRDefault="001E14E0" w:rsidP="001E14E0">
      <w:pPr>
        <w:pStyle w:val="paragraph"/>
        <w:jc w:val="both"/>
        <w:textAlignment w:val="baseline"/>
        <w:rPr>
          <w:rFonts w:asciiTheme="minorHAnsi" w:hAnsiTheme="minorHAnsi" w:cstheme="minorHAnsi"/>
          <w:color w:val="000000" w:themeColor="text1"/>
        </w:rPr>
      </w:pPr>
      <w:r w:rsidRPr="001E14E0">
        <w:rPr>
          <w:rFonts w:asciiTheme="minorHAnsi" w:hAnsiTheme="minorHAnsi" w:cstheme="minorHAnsi"/>
          <w:color w:val="000000" w:themeColor="text1"/>
        </w:rPr>
        <w:t>Česká republika byla hodnocena na základě 10 dílčích indexů (což je aktuálně maximum možných zdrojů, minimum jsou tři dílčí indexy) renomovaných mezinárodních institucí.</w:t>
      </w:r>
    </w:p>
    <w:p w14:paraId="06B230F9" w14:textId="64C03B1D" w:rsidR="008E4D52" w:rsidRDefault="001E14E0" w:rsidP="00617400">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6"/>
          <w:szCs w:val="26"/>
        </w:rPr>
      </w:pPr>
      <w:r w:rsidRPr="001E14E0">
        <w:rPr>
          <w:rFonts w:asciiTheme="minorHAnsi" w:hAnsiTheme="minorHAnsi" w:cstheme="minorHAnsi"/>
          <w:b/>
          <w:bCs/>
          <w:color w:val="000000" w:themeColor="text1"/>
        </w:rPr>
        <w:t>Data pro aktuální Index se sbírala v průběhu let 2019/2020, a výsledek tedy neodráží jednotlivou nedávnou událost nebo politické rozhodnutí</w:t>
      </w:r>
      <w:r w:rsidRPr="001E14E0">
        <w:rPr>
          <w:rFonts w:asciiTheme="minorHAnsi" w:hAnsiTheme="minorHAnsi" w:cstheme="minorHAnsi"/>
          <w:color w:val="000000" w:themeColor="text1"/>
        </w:rPr>
        <w:t xml:space="preserve">, ale představuje odraz dlouhodobějšího trendu v daném časovém období.  </w:t>
      </w:r>
    </w:p>
    <w:p w14:paraId="0828495F" w14:textId="0C93707F" w:rsidR="008E4D52" w:rsidRDefault="008E4D52" w:rsidP="00617400">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6"/>
          <w:szCs w:val="26"/>
        </w:rPr>
      </w:pPr>
    </w:p>
    <w:p w14:paraId="7ADC302B" w14:textId="77777777" w:rsidR="001E14E0" w:rsidRPr="001E14E0" w:rsidRDefault="001E14E0" w:rsidP="001E14E0">
      <w:pPr>
        <w:jc w:val="both"/>
        <w:rPr>
          <w:rFonts w:asciiTheme="minorHAnsi" w:eastAsia="Calibri" w:hAnsiTheme="minorHAnsi" w:cs="Calibri"/>
          <w:b/>
          <w:color w:val="808080"/>
          <w:sz w:val="26"/>
          <w:szCs w:val="26"/>
        </w:rPr>
      </w:pPr>
      <w:r w:rsidRPr="001E14E0">
        <w:rPr>
          <w:rFonts w:asciiTheme="minorHAnsi" w:eastAsia="Calibri" w:hAnsiTheme="minorHAnsi" w:cs="Calibri"/>
          <w:b/>
          <w:color w:val="808080"/>
          <w:sz w:val="26"/>
          <w:szCs w:val="26"/>
        </w:rPr>
        <w:t>Užitečné odkazy</w:t>
      </w:r>
    </w:p>
    <w:p w14:paraId="6C30D9E1" w14:textId="49135677" w:rsidR="001E14E0" w:rsidRPr="001E14E0" w:rsidRDefault="001E14E0" w:rsidP="001E14E0">
      <w:pPr>
        <w:pBdr>
          <w:top w:val="nil"/>
          <w:left w:val="nil"/>
          <w:bottom w:val="nil"/>
          <w:right w:val="nil"/>
          <w:between w:val="nil"/>
        </w:pBdr>
        <w:shd w:val="clear" w:color="auto" w:fill="FFFFFF" w:themeFill="background1"/>
        <w:spacing w:before="280" w:after="280"/>
        <w:jc w:val="both"/>
        <w:rPr>
          <w:rFonts w:asciiTheme="minorHAnsi" w:eastAsia="Calibri" w:hAnsiTheme="minorHAnsi" w:cs="Calibri"/>
          <w:color w:val="000000"/>
        </w:rPr>
      </w:pPr>
      <w:r w:rsidRPr="001E14E0">
        <w:rPr>
          <w:rFonts w:asciiTheme="minorHAnsi" w:eastAsia="Calibri" w:hAnsiTheme="minorHAnsi" w:cs="Calibri"/>
          <w:color w:val="000000" w:themeColor="text1"/>
        </w:rPr>
        <w:t>CPI 2020 – </w:t>
      </w:r>
      <w:hyperlink r:id="rId21" w:history="1">
        <w:r w:rsidRPr="00982599">
          <w:rPr>
            <w:rStyle w:val="Hypertextovodkaz"/>
            <w:rFonts w:asciiTheme="minorHAnsi" w:eastAsia="Calibri" w:hAnsiTheme="minorHAnsi" w:cs="Calibri"/>
            <w:color w:val="0070C0"/>
          </w:rPr>
          <w:t>Infografika Česká republika</w:t>
        </w:r>
      </w:hyperlink>
    </w:p>
    <w:p w14:paraId="29237B1C" w14:textId="77777777"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 </w:t>
      </w:r>
      <w:hyperlink r:id="rId22" w:tgtFrame="_blank" w:tooltip="https://www.transparency.cz/wp-content/uploads/2021/01/CPI2020_Map-globalindex.jpg" w:history="1">
        <w:r w:rsidRPr="001E14E0">
          <w:rPr>
            <w:rStyle w:val="Hypertextovodkaz"/>
            <w:rFonts w:asciiTheme="minorHAnsi" w:eastAsia="Calibri" w:hAnsiTheme="minorHAnsi" w:cs="Calibri"/>
            <w:color w:val="0070C0"/>
          </w:rPr>
          <w:t>Infografika svět</w:t>
        </w:r>
      </w:hyperlink>
    </w:p>
    <w:p w14:paraId="5136AA14" w14:textId="77777777"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lastRenderedPageBreak/>
        <w:t>CPI 2020 –</w:t>
      </w:r>
      <w:r w:rsidRPr="001E14E0">
        <w:rPr>
          <w:rFonts w:asciiTheme="minorHAnsi" w:hAnsiTheme="minorHAnsi" w:cs="Arial"/>
          <w:color w:val="55666F"/>
          <w:bdr w:val="none" w:sz="0" w:space="0" w:color="auto" w:frame="1"/>
        </w:rPr>
        <w:t> </w:t>
      </w:r>
      <w:hyperlink r:id="rId23" w:tgtFrame="_blank" w:tooltip="https://www.transparency.cz/wp-content/uploads/2021/01/CPI2020_Map_European-Union-1.jpg" w:history="1">
        <w:r w:rsidRPr="001E14E0">
          <w:rPr>
            <w:rStyle w:val="Hypertextovodkaz"/>
            <w:rFonts w:asciiTheme="minorHAnsi" w:eastAsia="Calibri" w:hAnsiTheme="minorHAnsi" w:cs="Calibri"/>
            <w:color w:val="0070C0"/>
          </w:rPr>
          <w:t>Infografika EU​</w:t>
        </w:r>
      </w:hyperlink>
    </w:p>
    <w:p w14:paraId="392790FD" w14:textId="77777777"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w:t>
      </w:r>
      <w:r w:rsidRPr="001E14E0">
        <w:rPr>
          <w:rFonts w:asciiTheme="minorHAnsi" w:hAnsiTheme="minorHAnsi" w:cs="Arial"/>
          <w:color w:val="55666F"/>
          <w:bdr w:val="none" w:sz="0" w:space="0" w:color="auto" w:frame="1"/>
        </w:rPr>
        <w:t> </w:t>
      </w:r>
      <w:hyperlink r:id="rId24" w:tgtFrame="_blank" w:tooltip="https://www.transparency.cz/wp-content/uploads/2021/01/CPI2020_TechnicalMethodologyNote.pdf" w:history="1">
        <w:r w:rsidRPr="001E14E0">
          <w:rPr>
            <w:rStyle w:val="Hypertextovodkaz"/>
            <w:rFonts w:asciiTheme="minorHAnsi" w:eastAsia="Calibri" w:hAnsiTheme="minorHAnsi" w:cs="Calibri"/>
            <w:color w:val="0070C0"/>
          </w:rPr>
          <w:t>Metodologie</w:t>
        </w:r>
      </w:hyperlink>
    </w:p>
    <w:p w14:paraId="3DF21DF1" w14:textId="77777777"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w:t>
      </w:r>
      <w:r w:rsidRPr="001E14E0">
        <w:rPr>
          <w:rFonts w:asciiTheme="minorHAnsi" w:hAnsiTheme="minorHAnsi" w:cs="Arial"/>
          <w:color w:val="55666F"/>
          <w:bdr w:val="none" w:sz="0" w:space="0" w:color="auto" w:frame="1"/>
        </w:rPr>
        <w:t> </w:t>
      </w:r>
      <w:hyperlink r:id="rId25" w:tgtFrame="_blank" w:tooltip="https://www.transparency.cz/wp-content/uploads/2021/01/CPI2020_ShortMethodology.pdf" w:history="1">
        <w:r w:rsidRPr="001E14E0">
          <w:rPr>
            <w:rStyle w:val="Hypertextovodkaz"/>
            <w:rFonts w:asciiTheme="minorHAnsi" w:eastAsia="Calibri" w:hAnsiTheme="minorHAnsi" w:cs="Calibri"/>
            <w:color w:val="0070C0"/>
          </w:rPr>
          <w:t>Stručná metodologie</w:t>
        </w:r>
      </w:hyperlink>
    </w:p>
    <w:p w14:paraId="0C736CD6" w14:textId="77777777"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w:t>
      </w:r>
      <w:r w:rsidRPr="001E14E0">
        <w:rPr>
          <w:rFonts w:asciiTheme="minorHAnsi" w:hAnsiTheme="minorHAnsi" w:cs="Arial"/>
          <w:color w:val="55666F"/>
          <w:bdr w:val="none" w:sz="0" w:space="0" w:color="auto" w:frame="1"/>
        </w:rPr>
        <w:t> </w:t>
      </w:r>
      <w:hyperlink r:id="rId26" w:tgtFrame="_blank" w:tooltip="https://www.transparency.cz/wp-content/uploads/2021/01/2020_CPI_FAQs_EN.pdf" w:history="1">
        <w:r w:rsidRPr="001E14E0">
          <w:rPr>
            <w:rStyle w:val="Hypertextovodkaz"/>
            <w:rFonts w:asciiTheme="minorHAnsi" w:eastAsia="Calibri" w:hAnsiTheme="minorHAnsi" w:cs="Calibri"/>
            <w:color w:val="0070C0"/>
          </w:rPr>
          <w:t>Nejčastěji kladené dotazy</w:t>
        </w:r>
      </w:hyperlink>
      <w:bookmarkStart w:id="0" w:name="_GoBack"/>
      <w:bookmarkEnd w:id="0"/>
    </w:p>
    <w:p w14:paraId="43230FC1" w14:textId="058CE5B1"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w:t>
      </w:r>
      <w:r w:rsidRPr="001E14E0">
        <w:rPr>
          <w:rFonts w:asciiTheme="minorHAnsi" w:hAnsiTheme="minorHAnsi" w:cs="Arial"/>
          <w:color w:val="55666F"/>
          <w:bdr w:val="none" w:sz="0" w:space="0" w:color="auto" w:frame="1"/>
        </w:rPr>
        <w:t> </w:t>
      </w:r>
      <w:hyperlink r:id="rId27" w:history="1">
        <w:r w:rsidRPr="0080119B">
          <w:rPr>
            <w:rStyle w:val="Hypertextovodkaz"/>
            <w:rFonts w:asciiTheme="minorHAnsi" w:hAnsiTheme="minorHAnsi" w:cs="Arial"/>
            <w:color w:val="0070C0"/>
            <w:bdr w:val="none" w:sz="0" w:space="0" w:color="auto" w:frame="1"/>
          </w:rPr>
          <w:t>Výsledky svět</w:t>
        </w:r>
      </w:hyperlink>
    </w:p>
    <w:p w14:paraId="332039ED" w14:textId="5F982ECC"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w:t>
      </w:r>
      <w:r w:rsidRPr="001E14E0">
        <w:rPr>
          <w:rFonts w:asciiTheme="minorHAnsi" w:hAnsiTheme="minorHAnsi" w:cs="Arial"/>
          <w:color w:val="55666F"/>
          <w:bdr w:val="none" w:sz="0" w:space="0" w:color="auto" w:frame="1"/>
        </w:rPr>
        <w:t> </w:t>
      </w:r>
      <w:hyperlink r:id="rId28" w:history="1">
        <w:r w:rsidRPr="0080119B">
          <w:rPr>
            <w:rStyle w:val="Hypertextovodkaz"/>
            <w:rFonts w:asciiTheme="minorHAnsi" w:hAnsiTheme="minorHAnsi" w:cs="Arial"/>
            <w:color w:val="0070C0"/>
            <w:bdr w:val="none" w:sz="0" w:space="0" w:color="auto" w:frame="1"/>
          </w:rPr>
          <w:t>Tisková zpráva TI sekretariát</w:t>
        </w:r>
      </w:hyperlink>
    </w:p>
    <w:p w14:paraId="765B18A1" w14:textId="77777777"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w:t>
      </w:r>
      <w:r w:rsidRPr="001E14E0">
        <w:rPr>
          <w:rFonts w:asciiTheme="minorHAnsi" w:hAnsiTheme="minorHAnsi" w:cs="Arial"/>
          <w:color w:val="55666F"/>
          <w:bdr w:val="none" w:sz="0" w:space="0" w:color="auto" w:frame="1"/>
        </w:rPr>
        <w:t> </w:t>
      </w:r>
      <w:hyperlink r:id="rId29" w:tgtFrame="_blank" w:tooltip="https://www.transparency.cz/wp-content/uploads/2021/01/CPI2020_SourceDescriptionEN.pdf" w:history="1">
        <w:r w:rsidRPr="001E14E0">
          <w:rPr>
            <w:rStyle w:val="Hypertextovodkaz"/>
            <w:rFonts w:asciiTheme="minorHAnsi" w:eastAsia="Calibri" w:hAnsiTheme="minorHAnsi" w:cs="Calibri"/>
            <w:color w:val="0070C0"/>
          </w:rPr>
          <w:t>Zdroje CPI</w:t>
        </w:r>
      </w:hyperlink>
    </w:p>
    <w:p w14:paraId="1FCCC908" w14:textId="77777777" w:rsidR="001E14E0" w:rsidRPr="001E14E0" w:rsidRDefault="001E14E0" w:rsidP="001E14E0">
      <w:pPr>
        <w:pStyle w:val="Normlnweb"/>
        <w:shd w:val="clear" w:color="auto" w:fill="FFFFFF"/>
        <w:spacing w:before="0" w:after="0"/>
        <w:rPr>
          <w:rFonts w:asciiTheme="minorHAnsi" w:hAnsiTheme="minorHAnsi" w:cs="Segoe UI"/>
          <w:color w:val="201F1E"/>
        </w:rPr>
      </w:pPr>
      <w:r w:rsidRPr="001E14E0">
        <w:rPr>
          <w:rFonts w:asciiTheme="minorHAnsi" w:eastAsia="Calibri" w:hAnsiTheme="minorHAnsi" w:cs="Calibri"/>
          <w:color w:val="000000" w:themeColor="text1"/>
        </w:rPr>
        <w:t>CPI 2020 –</w:t>
      </w:r>
      <w:r w:rsidRPr="001E14E0">
        <w:rPr>
          <w:rFonts w:asciiTheme="minorHAnsi" w:hAnsiTheme="minorHAnsi" w:cs="Arial"/>
          <w:color w:val="55666F"/>
          <w:bdr w:val="none" w:sz="0" w:space="0" w:color="auto" w:frame="1"/>
        </w:rPr>
        <w:t> </w:t>
      </w:r>
      <w:hyperlink r:id="rId30" w:tgtFrame="_blank" w:tooltip="https://www.transparency.cz/wp-content/uploads/2021/01/CPI2020_Report_EN-WEB.pdf" w:history="1">
        <w:r w:rsidRPr="001E14E0">
          <w:rPr>
            <w:rStyle w:val="Hypertextovodkaz"/>
            <w:rFonts w:asciiTheme="minorHAnsi" w:eastAsia="Calibri" w:hAnsiTheme="minorHAnsi" w:cs="Calibri"/>
            <w:color w:val="0070C0"/>
          </w:rPr>
          <w:t>Publikace</w:t>
        </w:r>
      </w:hyperlink>
      <w:r w:rsidRPr="001E14E0">
        <w:rPr>
          <w:rStyle w:val="Siln"/>
          <w:rFonts w:asciiTheme="minorHAnsi" w:hAnsiTheme="minorHAnsi" w:cs="Arial"/>
          <w:color w:val="55666F"/>
          <w:bdr w:val="none" w:sz="0" w:space="0" w:color="auto" w:frame="1"/>
        </w:rPr>
        <w:t> </w:t>
      </w:r>
    </w:p>
    <w:p w14:paraId="0E490B28" w14:textId="0F768A8D" w:rsidR="001E14E0" w:rsidRPr="001E14E0" w:rsidRDefault="001E14E0" w:rsidP="001E14E0">
      <w:pPr>
        <w:jc w:val="both"/>
        <w:rPr>
          <w:rFonts w:asciiTheme="minorHAnsi" w:eastAsia="Calibri" w:hAnsiTheme="minorHAnsi" w:cs="Calibri"/>
          <w:b/>
        </w:rPr>
      </w:pPr>
      <w:r w:rsidRPr="001E14E0">
        <w:rPr>
          <w:rFonts w:asciiTheme="minorHAnsi" w:eastAsia="Calibri" w:hAnsiTheme="minorHAnsi" w:cs="Calibri"/>
        </w:rPr>
        <w:t xml:space="preserve">Další informace v angličtině naleznete na webových stránkách </w:t>
      </w:r>
      <w:r w:rsidR="006A40D5">
        <w:rPr>
          <w:rFonts w:asciiTheme="minorHAnsi" w:eastAsia="Calibri" w:hAnsiTheme="minorHAnsi" w:cs="Calibri"/>
        </w:rPr>
        <w:t xml:space="preserve">mezinárodního sekretariátu </w:t>
      </w:r>
      <w:r w:rsidRPr="001E14E0">
        <w:rPr>
          <w:rFonts w:asciiTheme="minorHAnsi" w:eastAsia="Calibri" w:hAnsiTheme="minorHAnsi" w:cs="Calibri"/>
        </w:rPr>
        <w:t>T</w:t>
      </w:r>
      <w:r w:rsidR="006A40D5">
        <w:rPr>
          <w:rFonts w:asciiTheme="minorHAnsi" w:eastAsia="Calibri" w:hAnsiTheme="minorHAnsi" w:cs="Calibri"/>
        </w:rPr>
        <w:t>ransparency International:</w:t>
      </w:r>
      <w:r w:rsidRPr="001E14E0">
        <w:rPr>
          <w:rFonts w:asciiTheme="minorHAnsi" w:eastAsia="Calibri" w:hAnsiTheme="minorHAnsi" w:cs="Calibri"/>
        </w:rPr>
        <w:t xml:space="preserve"> </w:t>
      </w:r>
      <w:hyperlink r:id="rId31">
        <w:r w:rsidRPr="001E14E0">
          <w:rPr>
            <w:rFonts w:asciiTheme="minorHAnsi" w:eastAsia="Calibri" w:hAnsiTheme="minorHAnsi" w:cs="Calibri"/>
            <w:color w:val="0070C0"/>
            <w:u w:val="single"/>
          </w:rPr>
          <w:t>www.transparency.org/cpi</w:t>
        </w:r>
      </w:hyperlink>
      <w:r w:rsidRPr="001E14E0">
        <w:rPr>
          <w:rFonts w:asciiTheme="minorHAnsi" w:eastAsia="Calibri" w:hAnsiTheme="minorHAnsi" w:cs="Calibri"/>
        </w:rPr>
        <w:t xml:space="preserve"> </w:t>
      </w:r>
      <w:r w:rsidRPr="001E14E0">
        <w:rPr>
          <w:rFonts w:asciiTheme="minorHAnsi" w:eastAsia="Calibri" w:hAnsiTheme="minorHAnsi" w:cs="Calibri"/>
          <w:color w:val="0070C0"/>
        </w:rPr>
        <w:t xml:space="preserve"> </w:t>
      </w:r>
    </w:p>
    <w:p w14:paraId="6B65F005" w14:textId="77777777" w:rsidR="00290173" w:rsidRDefault="00290173" w:rsidP="00617400">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6"/>
          <w:szCs w:val="26"/>
        </w:rPr>
      </w:pPr>
    </w:p>
    <w:p w14:paraId="4402E905" w14:textId="54812D9D" w:rsidR="00485C6E" w:rsidRPr="00AC5C21" w:rsidRDefault="00485C6E" w:rsidP="00617400">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6"/>
          <w:szCs w:val="26"/>
        </w:rPr>
      </w:pPr>
      <w:r w:rsidRPr="00AC5C21">
        <w:rPr>
          <w:rFonts w:asciiTheme="minorHAnsi" w:hAnsiTheme="minorHAnsi" w:cstheme="minorHAnsi"/>
          <w:b/>
          <w:bCs/>
          <w:color w:val="808080" w:themeColor="background1" w:themeShade="80"/>
          <w:sz w:val="26"/>
          <w:szCs w:val="26"/>
        </w:rPr>
        <w:t>Kontakt pro média</w:t>
      </w:r>
    </w:p>
    <w:p w14:paraId="55EB413D" w14:textId="77777777" w:rsidR="0093075D" w:rsidRPr="00AC5C21" w:rsidRDefault="0093075D" w:rsidP="00617400">
      <w:pPr>
        <w:jc w:val="both"/>
        <w:rPr>
          <w:rFonts w:asciiTheme="minorHAnsi" w:hAnsiTheme="minorHAnsi" w:cstheme="minorHAnsi"/>
          <w:b/>
          <w:bCs/>
          <w:u w:val="single"/>
        </w:rPr>
      </w:pPr>
    </w:p>
    <w:p w14:paraId="57768090" w14:textId="51674D47" w:rsidR="00485C6E" w:rsidRPr="00AC5C21" w:rsidRDefault="0080119B" w:rsidP="00617400">
      <w:pPr>
        <w:jc w:val="both"/>
        <w:rPr>
          <w:rStyle w:val="Hypertextovodkaz"/>
          <w:rFonts w:asciiTheme="minorHAnsi" w:hAnsiTheme="minorHAnsi" w:cstheme="minorHAnsi"/>
          <w:color w:val="0070C0"/>
        </w:rPr>
      </w:pPr>
      <w:hyperlink r:id="rId32" w:history="1">
        <w:r w:rsidR="0093075D" w:rsidRPr="00AC5C21">
          <w:rPr>
            <w:rStyle w:val="Hypertextovodkaz"/>
            <w:rFonts w:asciiTheme="minorHAnsi" w:hAnsiTheme="minorHAnsi" w:cstheme="minorHAnsi"/>
            <w:color w:val="0070C0"/>
          </w:rPr>
          <w:t>David Kotora</w:t>
        </w:r>
      </w:hyperlink>
    </w:p>
    <w:p w14:paraId="782F0347" w14:textId="26CFC0AB" w:rsidR="00485C6E" w:rsidRPr="00AC5C21" w:rsidRDefault="004646F1" w:rsidP="00617400">
      <w:pPr>
        <w:jc w:val="both"/>
        <w:rPr>
          <w:rFonts w:asciiTheme="minorHAnsi" w:hAnsiTheme="minorHAnsi" w:cstheme="minorHAnsi"/>
          <w:color w:val="000000"/>
        </w:rPr>
      </w:pPr>
      <w:r w:rsidRPr="00AC5C21">
        <w:rPr>
          <w:rFonts w:asciiTheme="minorHAnsi" w:hAnsiTheme="minorHAnsi" w:cstheme="minorHAnsi"/>
          <w:color w:val="000000"/>
        </w:rPr>
        <w:t>vedoucí</w:t>
      </w:r>
      <w:r w:rsidR="0093075D" w:rsidRPr="00AC5C21">
        <w:rPr>
          <w:rFonts w:asciiTheme="minorHAnsi" w:hAnsiTheme="minorHAnsi" w:cstheme="minorHAnsi"/>
          <w:color w:val="000000"/>
        </w:rPr>
        <w:t xml:space="preserve"> komunikace</w:t>
      </w:r>
    </w:p>
    <w:p w14:paraId="2B9B91A9" w14:textId="415FC830" w:rsidR="00ED2C46" w:rsidRPr="00AC5C21" w:rsidRDefault="00ED2C46" w:rsidP="00617400">
      <w:pPr>
        <w:jc w:val="both"/>
        <w:rPr>
          <w:rFonts w:asciiTheme="minorHAnsi" w:hAnsiTheme="minorHAnsi" w:cstheme="minorHAnsi"/>
          <w:color w:val="0070C0"/>
          <w:u w:val="single"/>
        </w:rPr>
      </w:pPr>
      <w:r w:rsidRPr="00AC5C21">
        <w:rPr>
          <w:rFonts w:asciiTheme="minorHAnsi" w:hAnsiTheme="minorHAnsi" w:cstheme="minorHAnsi"/>
          <w:color w:val="000000"/>
        </w:rPr>
        <w:t>Transparency International ČR</w:t>
      </w:r>
    </w:p>
    <w:p w14:paraId="3E9DBB5F" w14:textId="643E7321" w:rsidR="00485C6E" w:rsidRPr="00AC5C21" w:rsidRDefault="00485C6E" w:rsidP="00617400">
      <w:pPr>
        <w:jc w:val="both"/>
        <w:rPr>
          <w:rFonts w:asciiTheme="minorHAnsi" w:hAnsiTheme="minorHAnsi" w:cstheme="minorHAnsi"/>
          <w:color w:val="000000"/>
        </w:rPr>
      </w:pPr>
      <w:r w:rsidRPr="00AC5C21">
        <w:rPr>
          <w:rFonts w:asciiTheme="minorHAnsi" w:hAnsiTheme="minorHAnsi" w:cstheme="minorHAnsi"/>
          <w:color w:val="000000"/>
        </w:rPr>
        <w:t>M: +420 605</w:t>
      </w:r>
      <w:r w:rsidR="0093075D" w:rsidRPr="00AC5C21">
        <w:rPr>
          <w:rFonts w:asciiTheme="minorHAnsi" w:hAnsiTheme="minorHAnsi" w:cstheme="minorHAnsi"/>
          <w:color w:val="000000"/>
        </w:rPr>
        <w:t> 785 622</w:t>
      </w:r>
      <w:r w:rsidRPr="00AC5C21">
        <w:rPr>
          <w:rFonts w:asciiTheme="minorHAnsi" w:hAnsiTheme="minorHAnsi" w:cstheme="minorHAnsi"/>
          <w:color w:val="000000"/>
        </w:rPr>
        <w:t xml:space="preserve">  </w:t>
      </w:r>
    </w:p>
    <w:p w14:paraId="4429F9A9" w14:textId="5273D114" w:rsidR="00485C6E" w:rsidRPr="00AC5C21" w:rsidRDefault="00485C6E" w:rsidP="00617400">
      <w:pPr>
        <w:jc w:val="both"/>
        <w:rPr>
          <w:rFonts w:asciiTheme="minorHAnsi" w:hAnsiTheme="minorHAnsi" w:cstheme="minorHAnsi"/>
          <w:color w:val="000000"/>
        </w:rPr>
      </w:pPr>
      <w:r w:rsidRPr="00AC5C21">
        <w:rPr>
          <w:rFonts w:asciiTheme="minorHAnsi" w:hAnsiTheme="minorHAnsi" w:cstheme="minorHAnsi"/>
          <w:color w:val="000000"/>
        </w:rPr>
        <w:t>E:</w:t>
      </w:r>
      <w:r w:rsidRPr="00AC5C21">
        <w:rPr>
          <w:rFonts w:asciiTheme="minorHAnsi" w:hAnsiTheme="minorHAnsi" w:cstheme="minorHAnsi"/>
          <w:color w:val="0070C0"/>
        </w:rPr>
        <w:t xml:space="preserve"> </w:t>
      </w:r>
      <w:hyperlink r:id="rId33" w:history="1">
        <w:r w:rsidR="0093075D" w:rsidRPr="00AC5C21">
          <w:rPr>
            <w:rStyle w:val="Hypertextovodkaz"/>
            <w:rFonts w:asciiTheme="minorHAnsi" w:hAnsiTheme="minorHAnsi" w:cstheme="minorHAnsi"/>
            <w:color w:val="0070C0"/>
          </w:rPr>
          <w:t>kotora@transparency.cz</w:t>
        </w:r>
      </w:hyperlink>
      <w:r w:rsidRPr="00AC5C21">
        <w:rPr>
          <w:rFonts w:asciiTheme="minorHAnsi" w:hAnsiTheme="minorHAnsi" w:cstheme="minorHAnsi"/>
          <w:color w:val="0070C0"/>
        </w:rPr>
        <w:t xml:space="preserve"> </w:t>
      </w:r>
    </w:p>
    <w:p w14:paraId="195BB38B" w14:textId="77777777" w:rsidR="00485C6E" w:rsidRPr="00AC5C21" w:rsidRDefault="00485C6E" w:rsidP="00617400">
      <w:pPr>
        <w:jc w:val="both"/>
        <w:rPr>
          <w:rFonts w:asciiTheme="minorHAnsi" w:hAnsiTheme="minorHAnsi" w:cstheme="minorHAnsi"/>
          <w:color w:val="0070C0"/>
        </w:rPr>
      </w:pPr>
      <w:r w:rsidRPr="00AC5C21">
        <w:rPr>
          <w:rFonts w:asciiTheme="minorHAnsi" w:hAnsiTheme="minorHAnsi" w:cstheme="minorHAnsi"/>
        </w:rPr>
        <w:t xml:space="preserve">W: </w:t>
      </w:r>
      <w:hyperlink r:id="rId34" w:history="1">
        <w:r w:rsidRPr="00AC5C21">
          <w:rPr>
            <w:rStyle w:val="Hypertextovodkaz"/>
            <w:rFonts w:asciiTheme="minorHAnsi" w:hAnsiTheme="minorHAnsi" w:cstheme="minorHAnsi"/>
            <w:color w:val="0070C0"/>
          </w:rPr>
          <w:t>www.transparency.cz</w:t>
        </w:r>
      </w:hyperlink>
      <w:r w:rsidRPr="00AC5C21">
        <w:rPr>
          <w:rFonts w:asciiTheme="minorHAnsi" w:hAnsiTheme="minorHAnsi" w:cstheme="minorHAnsi"/>
          <w:color w:val="0070C0"/>
        </w:rPr>
        <w:t xml:space="preserve"> </w:t>
      </w:r>
    </w:p>
    <w:p w14:paraId="33187AE8" w14:textId="77777777" w:rsidR="002D2D6F" w:rsidRPr="00AC5C21" w:rsidRDefault="002D2D6F" w:rsidP="00617400">
      <w:pPr>
        <w:jc w:val="both"/>
        <w:rPr>
          <w:rFonts w:asciiTheme="minorHAnsi" w:hAnsiTheme="minorHAnsi" w:cstheme="minorHAnsi"/>
          <w:b/>
          <w:color w:val="808080" w:themeColor="background1" w:themeShade="80"/>
          <w:sz w:val="26"/>
          <w:szCs w:val="26"/>
        </w:rPr>
      </w:pPr>
    </w:p>
    <w:p w14:paraId="1DDAC6BB" w14:textId="28CBF23B" w:rsidR="00485C6E" w:rsidRPr="00AC5C21" w:rsidRDefault="00485C6E" w:rsidP="00617400">
      <w:pPr>
        <w:jc w:val="both"/>
        <w:rPr>
          <w:rFonts w:asciiTheme="minorHAnsi" w:hAnsiTheme="minorHAnsi" w:cstheme="minorHAnsi"/>
          <w:b/>
          <w:color w:val="808080" w:themeColor="background1" w:themeShade="80"/>
          <w:sz w:val="26"/>
          <w:szCs w:val="26"/>
        </w:rPr>
      </w:pPr>
      <w:r w:rsidRPr="00AC5C21">
        <w:rPr>
          <w:rFonts w:asciiTheme="minorHAnsi" w:hAnsiTheme="minorHAnsi" w:cstheme="minorHAnsi"/>
          <w:b/>
          <w:color w:val="808080" w:themeColor="background1" w:themeShade="80"/>
          <w:sz w:val="26"/>
          <w:szCs w:val="26"/>
        </w:rPr>
        <w:t>Transparency International ČR</w:t>
      </w:r>
    </w:p>
    <w:p w14:paraId="0684AE82" w14:textId="77777777" w:rsidR="002D2D6F" w:rsidRPr="00AC5C21" w:rsidRDefault="002D2D6F" w:rsidP="00617400">
      <w:pPr>
        <w:jc w:val="both"/>
        <w:rPr>
          <w:rFonts w:asciiTheme="minorHAnsi" w:hAnsiTheme="minorHAnsi" w:cstheme="minorHAnsi"/>
          <w:b/>
          <w:color w:val="808080" w:themeColor="background1" w:themeShade="80"/>
          <w:sz w:val="26"/>
          <w:szCs w:val="26"/>
        </w:rPr>
      </w:pPr>
    </w:p>
    <w:p w14:paraId="6522D6CA" w14:textId="77777777" w:rsidR="002D2D6F" w:rsidRPr="00AC5C21" w:rsidRDefault="00ED2C46" w:rsidP="00ED2C46">
      <w:pPr>
        <w:jc w:val="both"/>
        <w:rPr>
          <w:rFonts w:asciiTheme="minorHAnsi" w:hAnsiTheme="minorHAnsi" w:cstheme="minorHAnsi"/>
        </w:rPr>
      </w:pPr>
      <w:r w:rsidRPr="00AC5C21">
        <w:rPr>
          <w:rFonts w:asciiTheme="minorHAnsi" w:hAnsiTheme="minorHAnsi" w:cstheme="minorHAnsi"/>
        </w:rPr>
        <w:t xml:space="preserve">Jsme kompaktní protikorupční tým, který řeší velké mezinárodní i malé regionální kauzy. Prosazujeme efektivní systémová řešení. Chráníme veřejné rozpočty. Šetříme miliardy korun našim spoluobčanům. Prostřednictvím projektů vzděláváme o korupci občanskou společnost, státní a soukromou sféru. Poskytujeme zdarma právní poradenství široké veřejnosti. Díky naší globální síti poboček </w:t>
      </w:r>
      <w:hyperlink r:id="rId35" w:history="1">
        <w:r w:rsidRPr="00AC5C21">
          <w:rPr>
            <w:rStyle w:val="Hypertextovodkaz"/>
            <w:rFonts w:asciiTheme="minorHAnsi" w:hAnsiTheme="minorHAnsi" w:cstheme="minorHAnsi"/>
            <w:color w:val="0070C0"/>
          </w:rPr>
          <w:t>Transparency International</w:t>
        </w:r>
      </w:hyperlink>
      <w:r w:rsidRPr="00AC5C21">
        <w:rPr>
          <w:rFonts w:asciiTheme="minorHAnsi" w:hAnsiTheme="minorHAnsi" w:cstheme="minorHAnsi"/>
        </w:rPr>
        <w:t xml:space="preserve"> sdílíme mezinárodní zkušenosti všude tam, kde je třeba.</w:t>
      </w:r>
      <w:r w:rsidR="00FD7A94" w:rsidRPr="00AC5C21">
        <w:rPr>
          <w:rFonts w:asciiTheme="minorHAnsi" w:hAnsiTheme="minorHAnsi" w:cstheme="minorHAnsi"/>
        </w:rPr>
        <w:t xml:space="preserve"> </w:t>
      </w:r>
    </w:p>
    <w:p w14:paraId="2B5B3DC0" w14:textId="77777777" w:rsidR="002D2D6F" w:rsidRPr="00AC5C21" w:rsidRDefault="002D2D6F" w:rsidP="00ED2C46">
      <w:pPr>
        <w:jc w:val="both"/>
        <w:rPr>
          <w:rFonts w:asciiTheme="minorHAnsi" w:hAnsiTheme="minorHAnsi" w:cstheme="minorHAnsi"/>
        </w:rPr>
      </w:pPr>
    </w:p>
    <w:p w14:paraId="74C636FE" w14:textId="62C4709E" w:rsidR="00ED2C46" w:rsidRPr="00AC5C21" w:rsidRDefault="0080119B" w:rsidP="00ED2C46">
      <w:pPr>
        <w:jc w:val="both"/>
        <w:rPr>
          <w:rFonts w:asciiTheme="minorHAnsi" w:eastAsia="Calibri" w:hAnsiTheme="minorHAnsi" w:cstheme="majorHAnsi"/>
          <w:color w:val="0070C0"/>
        </w:rPr>
      </w:pPr>
      <w:hyperlink r:id="rId36" w:history="1">
        <w:r w:rsidR="002D2D6F" w:rsidRPr="00AC5C21">
          <w:rPr>
            <w:rStyle w:val="Hypertextovodkaz"/>
            <w:rFonts w:asciiTheme="minorHAnsi" w:hAnsiTheme="minorHAnsi" w:cstheme="minorHAnsi"/>
            <w:color w:val="0070C0"/>
          </w:rPr>
          <w:t>www.transparency.cz</w:t>
        </w:r>
      </w:hyperlink>
      <w:r w:rsidR="00ED2C46" w:rsidRPr="00AC5C21">
        <w:rPr>
          <w:rFonts w:asciiTheme="minorHAnsi" w:hAnsiTheme="minorHAnsi" w:cstheme="minorHAnsi"/>
          <w:color w:val="0070C0"/>
        </w:rPr>
        <w:t xml:space="preserve"> </w:t>
      </w:r>
      <w:bookmarkStart w:id="1" w:name="_3znysh7"/>
      <w:bookmarkEnd w:id="1"/>
    </w:p>
    <w:sectPr w:rsidR="00ED2C46" w:rsidRPr="00AC5C21">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8F02" w14:textId="77777777" w:rsidR="004D31E6" w:rsidRDefault="004D31E6" w:rsidP="00A53006">
      <w:r>
        <w:separator/>
      </w:r>
    </w:p>
  </w:endnote>
  <w:endnote w:type="continuationSeparator" w:id="0">
    <w:p w14:paraId="27223BCA" w14:textId="77777777" w:rsidR="004D31E6" w:rsidRDefault="004D31E6"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swald">
    <w:altName w:val="Arial Narrow"/>
    <w:panose1 w:val="02000303000000000000"/>
    <w:charset w:val="EE"/>
    <w:family w:val="auto"/>
    <w:pitch w:val="variable"/>
    <w:sig w:usb0="A00000E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943B" w14:textId="77777777" w:rsidR="00712E52" w:rsidRDefault="00712E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14:paraId="02F18BA0" w14:textId="77777777" w:rsidR="00712E52" w:rsidRPr="00786744" w:rsidRDefault="00712E52" w:rsidP="002E4134">
            <w:pPr>
              <w:pStyle w:val="Zpat"/>
              <w:jc w:val="right"/>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Stránka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PAGE</w:instrText>
            </w:r>
            <w:r w:rsidRPr="00786744">
              <w:rPr>
                <w:rFonts w:ascii="Oswald" w:hAnsi="Oswald"/>
                <w:bCs/>
                <w:color w:val="808080" w:themeColor="background1" w:themeShade="80"/>
                <w:sz w:val="16"/>
                <w:szCs w:val="16"/>
              </w:rPr>
              <w:fldChar w:fldCharType="separate"/>
            </w:r>
            <w:r w:rsidR="00290173">
              <w:rPr>
                <w:rFonts w:ascii="Oswald" w:hAnsi="Oswald"/>
                <w:bCs/>
                <w:noProof/>
                <w:color w:val="808080" w:themeColor="background1" w:themeShade="80"/>
                <w:sz w:val="16"/>
                <w:szCs w:val="16"/>
              </w:rPr>
              <w:t>1</w:t>
            </w:r>
            <w:r w:rsidRPr="00786744">
              <w:rPr>
                <w:rFonts w:ascii="Oswald" w:hAnsi="Oswald"/>
                <w:bCs/>
                <w:color w:val="808080" w:themeColor="background1" w:themeShade="80"/>
                <w:sz w:val="16"/>
                <w:szCs w:val="16"/>
              </w:rPr>
              <w:fldChar w:fldCharType="end"/>
            </w:r>
            <w:r w:rsidRPr="00786744">
              <w:rPr>
                <w:rFonts w:ascii="Oswald" w:hAnsi="Oswald"/>
                <w:color w:val="808080" w:themeColor="background1" w:themeShade="80"/>
                <w:sz w:val="16"/>
                <w:szCs w:val="16"/>
              </w:rPr>
              <w:t xml:space="preserve"> z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NUMPAGES</w:instrText>
            </w:r>
            <w:r w:rsidRPr="00786744">
              <w:rPr>
                <w:rFonts w:ascii="Oswald" w:hAnsi="Oswald"/>
                <w:bCs/>
                <w:color w:val="808080" w:themeColor="background1" w:themeShade="80"/>
                <w:sz w:val="16"/>
                <w:szCs w:val="16"/>
              </w:rPr>
              <w:fldChar w:fldCharType="separate"/>
            </w:r>
            <w:r w:rsidR="00290173">
              <w:rPr>
                <w:rFonts w:ascii="Oswald" w:hAnsi="Oswald"/>
                <w:bCs/>
                <w:noProof/>
                <w:color w:val="808080" w:themeColor="background1" w:themeShade="80"/>
                <w:sz w:val="16"/>
                <w:szCs w:val="16"/>
              </w:rPr>
              <w:t>2</w:t>
            </w:r>
            <w:r w:rsidRPr="00786744">
              <w:rPr>
                <w:rFonts w:ascii="Oswald" w:hAnsi="Oswald"/>
                <w:bCs/>
                <w:color w:val="808080" w:themeColor="background1" w:themeShade="80"/>
                <w:sz w:val="16"/>
                <w:szCs w:val="16"/>
              </w:rPr>
              <w:fldChar w:fldCharType="end"/>
            </w:r>
          </w:p>
        </w:sdtContent>
      </w:sdt>
    </w:sdtContent>
  </w:sdt>
  <w:p w14:paraId="07861E98" w14:textId="77777777" w:rsidR="00712E52" w:rsidRPr="00786744" w:rsidRDefault="00712E52" w:rsidP="00A53006">
    <w:pPr>
      <w:pStyle w:val="Zpat"/>
      <w:jc w:val="center"/>
      <w:rPr>
        <w:rFonts w:ascii="Oswald" w:hAnsi="Oswald"/>
        <w:color w:val="808080" w:themeColor="background1" w:themeShade="80"/>
        <w:sz w:val="16"/>
        <w:szCs w:val="16"/>
      </w:rPr>
    </w:pPr>
  </w:p>
  <w:p w14:paraId="3F5059CE" w14:textId="77777777" w:rsidR="00712E52" w:rsidRPr="00786744" w:rsidRDefault="00712E52"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 Transparency </w:t>
    </w:r>
    <w:proofErr w:type="gramStart"/>
    <w:r w:rsidRPr="00786744">
      <w:rPr>
        <w:rFonts w:ascii="Oswald" w:hAnsi="Oswald"/>
        <w:color w:val="808080" w:themeColor="background1" w:themeShade="80"/>
        <w:sz w:val="16"/>
        <w:szCs w:val="16"/>
      </w:rPr>
      <w:t>International - Česká</w:t>
    </w:r>
    <w:proofErr w:type="gramEnd"/>
    <w:r w:rsidRPr="00786744">
      <w:rPr>
        <w:rFonts w:ascii="Oswald" w:hAnsi="Oswald"/>
        <w:color w:val="808080" w:themeColor="background1" w:themeShade="80"/>
        <w:sz w:val="16"/>
        <w:szCs w:val="16"/>
      </w:rPr>
      <w:t xml:space="preserve"> republika, o. p. s. | Sokolovská 260/143, 180 00 Praha 8, Česká republika | </w:t>
    </w:r>
  </w:p>
  <w:p w14:paraId="0892013B" w14:textId="77777777" w:rsidR="00712E52" w:rsidRPr="00786744" w:rsidRDefault="00712E52"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Tel: +420 224 240 895-7 | posta@transparency.cz | www.transparency.cz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B3B0" w14:textId="77777777" w:rsidR="00712E52" w:rsidRDefault="00712E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D757" w14:textId="77777777" w:rsidR="004D31E6" w:rsidRDefault="004D31E6" w:rsidP="00A53006">
      <w:r>
        <w:separator/>
      </w:r>
    </w:p>
  </w:footnote>
  <w:footnote w:type="continuationSeparator" w:id="0">
    <w:p w14:paraId="566DC384" w14:textId="77777777" w:rsidR="004D31E6" w:rsidRDefault="004D31E6" w:rsidP="00A5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F100" w14:textId="77777777" w:rsidR="00712E52" w:rsidRDefault="00712E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4FB4" w14:textId="77777777" w:rsidR="00712E52" w:rsidRDefault="00712E52" w:rsidP="00A53006">
    <w:pPr>
      <w:pStyle w:val="Zhlav"/>
      <w:tabs>
        <w:tab w:val="clear" w:pos="4536"/>
        <w:tab w:val="clear" w:pos="9072"/>
        <w:tab w:val="left" w:pos="4020"/>
      </w:tabs>
    </w:pPr>
    <w:r>
      <w:rPr>
        <w:noProof/>
        <w:lang w:eastAsia="cs-CZ"/>
      </w:rPr>
      <w:drawing>
        <wp:anchor distT="0" distB="0" distL="114300" distR="114300" simplePos="0" relativeHeight="251657216" behindDoc="1" locked="0" layoutInCell="1" allowOverlap="1" wp14:anchorId="17EFD0B1" wp14:editId="6625D636">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14:sizeRelH relativeFrom="page">
            <wp14:pctWidth>0</wp14:pctWidth>
          </wp14:sizeRelH>
          <wp14:sizeRelV relativeFrom="page">
            <wp14:pctHeight>0</wp14:pctHeight>
          </wp14:sizeRelV>
        </wp:anchor>
      </w:drawing>
    </w:r>
    <w:r>
      <w:tab/>
    </w:r>
  </w:p>
  <w:p w14:paraId="706F80E8" w14:textId="77777777" w:rsidR="00712E52" w:rsidRDefault="00712E52" w:rsidP="00A53006">
    <w:pPr>
      <w:pStyle w:val="Zhlav"/>
      <w:tabs>
        <w:tab w:val="clear" w:pos="4536"/>
        <w:tab w:val="clear" w:pos="9072"/>
        <w:tab w:val="left" w:pos="4020"/>
      </w:tabs>
    </w:pPr>
  </w:p>
  <w:p w14:paraId="00B1404B" w14:textId="77777777" w:rsidR="00712E52" w:rsidRPr="002E4134" w:rsidRDefault="00712E52"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77AA" w14:textId="77777777" w:rsidR="00712E52" w:rsidRDefault="00712E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F84"/>
    <w:multiLevelType w:val="hybridMultilevel"/>
    <w:tmpl w:val="4554FE5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5D7785"/>
    <w:multiLevelType w:val="hybridMultilevel"/>
    <w:tmpl w:val="F9A48F6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0C15F03"/>
    <w:multiLevelType w:val="multilevel"/>
    <w:tmpl w:val="8C54F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21A8F"/>
    <w:multiLevelType w:val="hybridMultilevel"/>
    <w:tmpl w:val="C5AE3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301290"/>
    <w:multiLevelType w:val="hybridMultilevel"/>
    <w:tmpl w:val="FFFFFFFF"/>
    <w:lvl w:ilvl="0" w:tplc="A7F880DE">
      <w:start w:val="1"/>
      <w:numFmt w:val="decimal"/>
      <w:lvlText w:val="%1."/>
      <w:lvlJc w:val="left"/>
      <w:pPr>
        <w:ind w:left="720" w:hanging="360"/>
      </w:pPr>
    </w:lvl>
    <w:lvl w:ilvl="1" w:tplc="557A8FC8">
      <w:start w:val="1"/>
      <w:numFmt w:val="lowerLetter"/>
      <w:lvlText w:val="%2."/>
      <w:lvlJc w:val="left"/>
      <w:pPr>
        <w:ind w:left="1440" w:hanging="360"/>
      </w:pPr>
    </w:lvl>
    <w:lvl w:ilvl="2" w:tplc="7B3A0494">
      <w:start w:val="1"/>
      <w:numFmt w:val="lowerRoman"/>
      <w:lvlText w:val="%3."/>
      <w:lvlJc w:val="right"/>
      <w:pPr>
        <w:ind w:left="2160" w:hanging="180"/>
      </w:pPr>
    </w:lvl>
    <w:lvl w:ilvl="3" w:tplc="F6FE22B6">
      <w:start w:val="1"/>
      <w:numFmt w:val="decimal"/>
      <w:lvlText w:val="%4."/>
      <w:lvlJc w:val="left"/>
      <w:pPr>
        <w:ind w:left="2880" w:hanging="360"/>
      </w:pPr>
    </w:lvl>
    <w:lvl w:ilvl="4" w:tplc="FEE8D748">
      <w:start w:val="1"/>
      <w:numFmt w:val="lowerLetter"/>
      <w:lvlText w:val="%5."/>
      <w:lvlJc w:val="left"/>
      <w:pPr>
        <w:ind w:left="3600" w:hanging="360"/>
      </w:pPr>
    </w:lvl>
    <w:lvl w:ilvl="5" w:tplc="A054447C">
      <w:start w:val="1"/>
      <w:numFmt w:val="lowerRoman"/>
      <w:lvlText w:val="%6."/>
      <w:lvlJc w:val="right"/>
      <w:pPr>
        <w:ind w:left="4320" w:hanging="180"/>
      </w:pPr>
    </w:lvl>
    <w:lvl w:ilvl="6" w:tplc="B950DDEC">
      <w:start w:val="1"/>
      <w:numFmt w:val="decimal"/>
      <w:lvlText w:val="%7."/>
      <w:lvlJc w:val="left"/>
      <w:pPr>
        <w:ind w:left="5040" w:hanging="360"/>
      </w:pPr>
    </w:lvl>
    <w:lvl w:ilvl="7" w:tplc="2DAA5E90">
      <w:start w:val="1"/>
      <w:numFmt w:val="lowerLetter"/>
      <w:lvlText w:val="%8."/>
      <w:lvlJc w:val="left"/>
      <w:pPr>
        <w:ind w:left="5760" w:hanging="360"/>
      </w:pPr>
    </w:lvl>
    <w:lvl w:ilvl="8" w:tplc="100C0AAA">
      <w:start w:val="1"/>
      <w:numFmt w:val="lowerRoman"/>
      <w:lvlText w:val="%9."/>
      <w:lvlJc w:val="right"/>
      <w:pPr>
        <w:ind w:left="6480" w:hanging="180"/>
      </w:pPr>
    </w:lvl>
  </w:abstractNum>
  <w:abstractNum w:abstractNumId="5" w15:restartNumberingAfterBreak="0">
    <w:nsid w:val="2E2751DC"/>
    <w:multiLevelType w:val="hybridMultilevel"/>
    <w:tmpl w:val="3F5E75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9106BA5"/>
    <w:multiLevelType w:val="hybridMultilevel"/>
    <w:tmpl w:val="B08A0C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CE72D0F"/>
    <w:multiLevelType w:val="multilevel"/>
    <w:tmpl w:val="9F9C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EE435B"/>
    <w:multiLevelType w:val="hybridMultilevel"/>
    <w:tmpl w:val="DA6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269C6"/>
    <w:multiLevelType w:val="multilevel"/>
    <w:tmpl w:val="555E8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8203B3"/>
    <w:multiLevelType w:val="hybridMultilevel"/>
    <w:tmpl w:val="F9EEC912"/>
    <w:lvl w:ilvl="0" w:tplc="BB983A1E">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F45B5A"/>
    <w:multiLevelType w:val="hybridMultilevel"/>
    <w:tmpl w:val="EA9AC5B2"/>
    <w:lvl w:ilvl="0" w:tplc="04050017">
      <w:start w:val="1"/>
      <w:numFmt w:val="lowerLetter"/>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8D6453"/>
    <w:multiLevelType w:val="hybridMultilevel"/>
    <w:tmpl w:val="0B10E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7"/>
  </w:num>
  <w:num w:numId="10">
    <w:abstractNumId w:val="9"/>
  </w:num>
  <w:num w:numId="11">
    <w:abstractNumId w:val="2"/>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06"/>
    <w:rsid w:val="00012A6E"/>
    <w:rsid w:val="00020BC6"/>
    <w:rsid w:val="00021F37"/>
    <w:rsid w:val="0002225D"/>
    <w:rsid w:val="00023546"/>
    <w:rsid w:val="00026D61"/>
    <w:rsid w:val="00034E1E"/>
    <w:rsid w:val="00051A20"/>
    <w:rsid w:val="000719D5"/>
    <w:rsid w:val="0008084F"/>
    <w:rsid w:val="00086D5E"/>
    <w:rsid w:val="000911EA"/>
    <w:rsid w:val="00092099"/>
    <w:rsid w:val="0009538B"/>
    <w:rsid w:val="00097FA6"/>
    <w:rsid w:val="000B329C"/>
    <w:rsid w:val="000B6DC7"/>
    <w:rsid w:val="000B7D43"/>
    <w:rsid w:val="000C1948"/>
    <w:rsid w:val="000D13ED"/>
    <w:rsid w:val="000D2706"/>
    <w:rsid w:val="000D2D39"/>
    <w:rsid w:val="000E25F8"/>
    <w:rsid w:val="000E4A08"/>
    <w:rsid w:val="00102327"/>
    <w:rsid w:val="001076BE"/>
    <w:rsid w:val="00123ADA"/>
    <w:rsid w:val="00136A6C"/>
    <w:rsid w:val="00136FE0"/>
    <w:rsid w:val="001378BE"/>
    <w:rsid w:val="00143B18"/>
    <w:rsid w:val="00143C9D"/>
    <w:rsid w:val="00143E53"/>
    <w:rsid w:val="00155CAF"/>
    <w:rsid w:val="0016446A"/>
    <w:rsid w:val="00170DB6"/>
    <w:rsid w:val="00176CEC"/>
    <w:rsid w:val="0018206F"/>
    <w:rsid w:val="001944F7"/>
    <w:rsid w:val="001B71D2"/>
    <w:rsid w:val="001B7541"/>
    <w:rsid w:val="001C1858"/>
    <w:rsid w:val="001C2C57"/>
    <w:rsid w:val="001C54D8"/>
    <w:rsid w:val="001D3A6B"/>
    <w:rsid w:val="001D4B41"/>
    <w:rsid w:val="001E010C"/>
    <w:rsid w:val="001E1211"/>
    <w:rsid w:val="001E14E0"/>
    <w:rsid w:val="001F4CEB"/>
    <w:rsid w:val="002174A9"/>
    <w:rsid w:val="0024180B"/>
    <w:rsid w:val="00241B59"/>
    <w:rsid w:val="00242CF9"/>
    <w:rsid w:val="002474DE"/>
    <w:rsid w:val="002543D7"/>
    <w:rsid w:val="00254443"/>
    <w:rsid w:val="00267C61"/>
    <w:rsid w:val="00273A20"/>
    <w:rsid w:val="00276C30"/>
    <w:rsid w:val="002878C7"/>
    <w:rsid w:val="00290173"/>
    <w:rsid w:val="002A376B"/>
    <w:rsid w:val="002A4884"/>
    <w:rsid w:val="002B33B8"/>
    <w:rsid w:val="002C1110"/>
    <w:rsid w:val="002C13C0"/>
    <w:rsid w:val="002C5AB5"/>
    <w:rsid w:val="002D0747"/>
    <w:rsid w:val="002D2D6F"/>
    <w:rsid w:val="002E3A2F"/>
    <w:rsid w:val="002E4134"/>
    <w:rsid w:val="002E5CE7"/>
    <w:rsid w:val="002F0919"/>
    <w:rsid w:val="002F6098"/>
    <w:rsid w:val="00302FA0"/>
    <w:rsid w:val="00304AED"/>
    <w:rsid w:val="00313D32"/>
    <w:rsid w:val="0034089C"/>
    <w:rsid w:val="00346C65"/>
    <w:rsid w:val="003478EB"/>
    <w:rsid w:val="00361769"/>
    <w:rsid w:val="00362B3B"/>
    <w:rsid w:val="00392941"/>
    <w:rsid w:val="003D1941"/>
    <w:rsid w:val="003E0DB1"/>
    <w:rsid w:val="003F5537"/>
    <w:rsid w:val="00402B58"/>
    <w:rsid w:val="00407077"/>
    <w:rsid w:val="00412E76"/>
    <w:rsid w:val="00420296"/>
    <w:rsid w:val="00424F4D"/>
    <w:rsid w:val="00435DCF"/>
    <w:rsid w:val="00445F84"/>
    <w:rsid w:val="00451757"/>
    <w:rsid w:val="00453F67"/>
    <w:rsid w:val="004553D4"/>
    <w:rsid w:val="0045692F"/>
    <w:rsid w:val="00461DB5"/>
    <w:rsid w:val="00463F45"/>
    <w:rsid w:val="004646F1"/>
    <w:rsid w:val="00464718"/>
    <w:rsid w:val="00471A4D"/>
    <w:rsid w:val="00480668"/>
    <w:rsid w:val="00485C6E"/>
    <w:rsid w:val="0048676A"/>
    <w:rsid w:val="004907FF"/>
    <w:rsid w:val="00494634"/>
    <w:rsid w:val="004960F9"/>
    <w:rsid w:val="004A1B88"/>
    <w:rsid w:val="004A3AC2"/>
    <w:rsid w:val="004B2019"/>
    <w:rsid w:val="004B7329"/>
    <w:rsid w:val="004C34FA"/>
    <w:rsid w:val="004D31E6"/>
    <w:rsid w:val="004E515C"/>
    <w:rsid w:val="004F2C55"/>
    <w:rsid w:val="004F4E03"/>
    <w:rsid w:val="00501CDE"/>
    <w:rsid w:val="00503473"/>
    <w:rsid w:val="00510AF5"/>
    <w:rsid w:val="00512D20"/>
    <w:rsid w:val="0052665D"/>
    <w:rsid w:val="005313CB"/>
    <w:rsid w:val="00552108"/>
    <w:rsid w:val="005578BE"/>
    <w:rsid w:val="00562004"/>
    <w:rsid w:val="00566E69"/>
    <w:rsid w:val="00573DF9"/>
    <w:rsid w:val="005741AA"/>
    <w:rsid w:val="00585C70"/>
    <w:rsid w:val="00587B65"/>
    <w:rsid w:val="00590AF9"/>
    <w:rsid w:val="00593084"/>
    <w:rsid w:val="0059460D"/>
    <w:rsid w:val="005A0524"/>
    <w:rsid w:val="005A1BC1"/>
    <w:rsid w:val="005A1FBE"/>
    <w:rsid w:val="005B1C00"/>
    <w:rsid w:val="005B2870"/>
    <w:rsid w:val="005B72BE"/>
    <w:rsid w:val="005D5486"/>
    <w:rsid w:val="005F3AE8"/>
    <w:rsid w:val="00607062"/>
    <w:rsid w:val="00617400"/>
    <w:rsid w:val="0062204D"/>
    <w:rsid w:val="006370A3"/>
    <w:rsid w:val="006439D8"/>
    <w:rsid w:val="00646055"/>
    <w:rsid w:val="006538FF"/>
    <w:rsid w:val="00654F5A"/>
    <w:rsid w:val="006558A6"/>
    <w:rsid w:val="006605B8"/>
    <w:rsid w:val="0066337A"/>
    <w:rsid w:val="00663D73"/>
    <w:rsid w:val="00671F10"/>
    <w:rsid w:val="00681EBE"/>
    <w:rsid w:val="006846DD"/>
    <w:rsid w:val="006850CA"/>
    <w:rsid w:val="006919F5"/>
    <w:rsid w:val="00695562"/>
    <w:rsid w:val="006A40D5"/>
    <w:rsid w:val="006C61DF"/>
    <w:rsid w:val="006D4131"/>
    <w:rsid w:val="006F4C32"/>
    <w:rsid w:val="006F798E"/>
    <w:rsid w:val="00703E55"/>
    <w:rsid w:val="00706387"/>
    <w:rsid w:val="00712E52"/>
    <w:rsid w:val="00713113"/>
    <w:rsid w:val="00713ED4"/>
    <w:rsid w:val="007235C1"/>
    <w:rsid w:val="00733D32"/>
    <w:rsid w:val="007457A9"/>
    <w:rsid w:val="007558D4"/>
    <w:rsid w:val="007648A4"/>
    <w:rsid w:val="00770509"/>
    <w:rsid w:val="007706C9"/>
    <w:rsid w:val="00772E6C"/>
    <w:rsid w:val="007762C5"/>
    <w:rsid w:val="0077754D"/>
    <w:rsid w:val="00786744"/>
    <w:rsid w:val="00790C7F"/>
    <w:rsid w:val="00790CF1"/>
    <w:rsid w:val="007A02AB"/>
    <w:rsid w:val="007A4779"/>
    <w:rsid w:val="007B59EB"/>
    <w:rsid w:val="007C0B10"/>
    <w:rsid w:val="007C6326"/>
    <w:rsid w:val="007C6928"/>
    <w:rsid w:val="007D334E"/>
    <w:rsid w:val="007D64E0"/>
    <w:rsid w:val="007E4E2A"/>
    <w:rsid w:val="007F17D6"/>
    <w:rsid w:val="007F5260"/>
    <w:rsid w:val="007F5501"/>
    <w:rsid w:val="0080119B"/>
    <w:rsid w:val="00816D3D"/>
    <w:rsid w:val="00817E07"/>
    <w:rsid w:val="0082494F"/>
    <w:rsid w:val="00827B32"/>
    <w:rsid w:val="008342E0"/>
    <w:rsid w:val="00834BC4"/>
    <w:rsid w:val="008413FF"/>
    <w:rsid w:val="00844DCC"/>
    <w:rsid w:val="0084554C"/>
    <w:rsid w:val="0085408E"/>
    <w:rsid w:val="00855EA0"/>
    <w:rsid w:val="008636A2"/>
    <w:rsid w:val="00876EFE"/>
    <w:rsid w:val="008943C1"/>
    <w:rsid w:val="00897335"/>
    <w:rsid w:val="008A2DA1"/>
    <w:rsid w:val="008B6EA6"/>
    <w:rsid w:val="008C2CCE"/>
    <w:rsid w:val="008C591B"/>
    <w:rsid w:val="008E4D52"/>
    <w:rsid w:val="008E7287"/>
    <w:rsid w:val="0091272D"/>
    <w:rsid w:val="00922A58"/>
    <w:rsid w:val="0093075D"/>
    <w:rsid w:val="00931488"/>
    <w:rsid w:val="00935C6C"/>
    <w:rsid w:val="009445CD"/>
    <w:rsid w:val="00946202"/>
    <w:rsid w:val="00950C58"/>
    <w:rsid w:val="00952640"/>
    <w:rsid w:val="00956143"/>
    <w:rsid w:val="00960D2E"/>
    <w:rsid w:val="009669E1"/>
    <w:rsid w:val="00966C16"/>
    <w:rsid w:val="0097356C"/>
    <w:rsid w:val="009756DC"/>
    <w:rsid w:val="00977C8C"/>
    <w:rsid w:val="00982599"/>
    <w:rsid w:val="0098645F"/>
    <w:rsid w:val="0099489A"/>
    <w:rsid w:val="009B1DCF"/>
    <w:rsid w:val="009B3AC9"/>
    <w:rsid w:val="009B4618"/>
    <w:rsid w:val="009C39EB"/>
    <w:rsid w:val="009D4750"/>
    <w:rsid w:val="009D638B"/>
    <w:rsid w:val="009D7A8D"/>
    <w:rsid w:val="009F42CE"/>
    <w:rsid w:val="009F5B28"/>
    <w:rsid w:val="00A0098A"/>
    <w:rsid w:val="00A00B64"/>
    <w:rsid w:val="00A03B6A"/>
    <w:rsid w:val="00A050E2"/>
    <w:rsid w:val="00A128BA"/>
    <w:rsid w:val="00A17B92"/>
    <w:rsid w:val="00A208D7"/>
    <w:rsid w:val="00A5140D"/>
    <w:rsid w:val="00A53006"/>
    <w:rsid w:val="00A53214"/>
    <w:rsid w:val="00A90CA6"/>
    <w:rsid w:val="00A91015"/>
    <w:rsid w:val="00AB66F1"/>
    <w:rsid w:val="00AC5C21"/>
    <w:rsid w:val="00AD3BC7"/>
    <w:rsid w:val="00AD3E6A"/>
    <w:rsid w:val="00AD5798"/>
    <w:rsid w:val="00AD78B9"/>
    <w:rsid w:val="00AF4984"/>
    <w:rsid w:val="00AF5B99"/>
    <w:rsid w:val="00B1212B"/>
    <w:rsid w:val="00B178E7"/>
    <w:rsid w:val="00B3007C"/>
    <w:rsid w:val="00B31C86"/>
    <w:rsid w:val="00B479BD"/>
    <w:rsid w:val="00B56F43"/>
    <w:rsid w:val="00B57E08"/>
    <w:rsid w:val="00B77493"/>
    <w:rsid w:val="00B8061F"/>
    <w:rsid w:val="00B8194E"/>
    <w:rsid w:val="00B832FC"/>
    <w:rsid w:val="00B85907"/>
    <w:rsid w:val="00B8686B"/>
    <w:rsid w:val="00B87F84"/>
    <w:rsid w:val="00B918BD"/>
    <w:rsid w:val="00B9676B"/>
    <w:rsid w:val="00BA0B96"/>
    <w:rsid w:val="00BA5177"/>
    <w:rsid w:val="00BA56F0"/>
    <w:rsid w:val="00BB323F"/>
    <w:rsid w:val="00BC003F"/>
    <w:rsid w:val="00BC6F73"/>
    <w:rsid w:val="00BD0672"/>
    <w:rsid w:val="00BE3B45"/>
    <w:rsid w:val="00BF31E1"/>
    <w:rsid w:val="00BF7E53"/>
    <w:rsid w:val="00C058D4"/>
    <w:rsid w:val="00C121A2"/>
    <w:rsid w:val="00C131C2"/>
    <w:rsid w:val="00C220E7"/>
    <w:rsid w:val="00C23101"/>
    <w:rsid w:val="00C24B89"/>
    <w:rsid w:val="00C2603F"/>
    <w:rsid w:val="00C3050F"/>
    <w:rsid w:val="00C31516"/>
    <w:rsid w:val="00C41AEA"/>
    <w:rsid w:val="00C53C42"/>
    <w:rsid w:val="00C5610A"/>
    <w:rsid w:val="00C665CA"/>
    <w:rsid w:val="00C743CC"/>
    <w:rsid w:val="00C77B5F"/>
    <w:rsid w:val="00C8793C"/>
    <w:rsid w:val="00C9774B"/>
    <w:rsid w:val="00CA6B4D"/>
    <w:rsid w:val="00CA72FB"/>
    <w:rsid w:val="00CB5416"/>
    <w:rsid w:val="00CC4433"/>
    <w:rsid w:val="00CD1827"/>
    <w:rsid w:val="00CE17EF"/>
    <w:rsid w:val="00CF027C"/>
    <w:rsid w:val="00CF54FF"/>
    <w:rsid w:val="00D03590"/>
    <w:rsid w:val="00D21C95"/>
    <w:rsid w:val="00D423A9"/>
    <w:rsid w:val="00D449AB"/>
    <w:rsid w:val="00D57BD8"/>
    <w:rsid w:val="00D72CED"/>
    <w:rsid w:val="00D75C7E"/>
    <w:rsid w:val="00D8199D"/>
    <w:rsid w:val="00D93C12"/>
    <w:rsid w:val="00DC0BEB"/>
    <w:rsid w:val="00DC62B4"/>
    <w:rsid w:val="00DD582A"/>
    <w:rsid w:val="00DE030F"/>
    <w:rsid w:val="00DE40DA"/>
    <w:rsid w:val="00DF1950"/>
    <w:rsid w:val="00E1602C"/>
    <w:rsid w:val="00E3338E"/>
    <w:rsid w:val="00E36599"/>
    <w:rsid w:val="00E41477"/>
    <w:rsid w:val="00E44766"/>
    <w:rsid w:val="00E51D06"/>
    <w:rsid w:val="00E53E4B"/>
    <w:rsid w:val="00E5553F"/>
    <w:rsid w:val="00E62AC2"/>
    <w:rsid w:val="00E62BB7"/>
    <w:rsid w:val="00E63EB7"/>
    <w:rsid w:val="00E71E0A"/>
    <w:rsid w:val="00E8040C"/>
    <w:rsid w:val="00E8142C"/>
    <w:rsid w:val="00E9303E"/>
    <w:rsid w:val="00E944B7"/>
    <w:rsid w:val="00E94603"/>
    <w:rsid w:val="00E95EB6"/>
    <w:rsid w:val="00EA3101"/>
    <w:rsid w:val="00EA6CDF"/>
    <w:rsid w:val="00EA6E14"/>
    <w:rsid w:val="00EB1DA9"/>
    <w:rsid w:val="00EB2344"/>
    <w:rsid w:val="00EB289E"/>
    <w:rsid w:val="00EC7088"/>
    <w:rsid w:val="00EC71BA"/>
    <w:rsid w:val="00ED2C46"/>
    <w:rsid w:val="00ED3D1D"/>
    <w:rsid w:val="00ED42A2"/>
    <w:rsid w:val="00ED5BCE"/>
    <w:rsid w:val="00ED6791"/>
    <w:rsid w:val="00EF0AB5"/>
    <w:rsid w:val="00EF62D3"/>
    <w:rsid w:val="00EF77BD"/>
    <w:rsid w:val="00F00733"/>
    <w:rsid w:val="00F00899"/>
    <w:rsid w:val="00F01214"/>
    <w:rsid w:val="00F14538"/>
    <w:rsid w:val="00F24C42"/>
    <w:rsid w:val="00F2581A"/>
    <w:rsid w:val="00F36051"/>
    <w:rsid w:val="00F44B74"/>
    <w:rsid w:val="00F5080A"/>
    <w:rsid w:val="00F6006C"/>
    <w:rsid w:val="00F63BB6"/>
    <w:rsid w:val="00F906FC"/>
    <w:rsid w:val="00FA60A7"/>
    <w:rsid w:val="00FB4032"/>
    <w:rsid w:val="00FD4E60"/>
    <w:rsid w:val="00FD7A9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998EF8"/>
  <w15:docId w15:val="{1E7D5600-7BAB-4A62-B711-B128CC29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Nzev">
    <w:name w:val="Title"/>
    <w:basedOn w:val="Normln"/>
    <w:next w:val="Normln"/>
    <w:link w:val="NzevChar"/>
    <w:uiPriority w:val="10"/>
    <w:qFormat/>
    <w:rsid w:val="00A00B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A00B64"/>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A00B6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00B64"/>
    <w:rPr>
      <w:sz w:val="20"/>
      <w:szCs w:val="20"/>
    </w:rPr>
  </w:style>
  <w:style w:type="character" w:styleId="Znakapoznpodarou">
    <w:name w:val="footnote reference"/>
    <w:basedOn w:val="Standardnpsmoodstavce"/>
    <w:uiPriority w:val="99"/>
    <w:semiHidden/>
    <w:unhideWhenUsed/>
    <w:rsid w:val="00A00B64"/>
    <w:rPr>
      <w:vertAlign w:val="superscript"/>
    </w:rPr>
  </w:style>
  <w:style w:type="paragraph" w:styleId="Normlnweb">
    <w:name w:val="Normal (Web)"/>
    <w:basedOn w:val="Normln"/>
    <w:uiPriority w:val="99"/>
    <w:unhideWhenUsed/>
    <w:rsid w:val="00834BC4"/>
    <w:pPr>
      <w:spacing w:before="100" w:beforeAutospacing="1" w:after="100" w:afterAutospacing="1"/>
    </w:pPr>
  </w:style>
  <w:style w:type="character" w:styleId="Zdraznn">
    <w:name w:val="Emphasis"/>
    <w:basedOn w:val="Standardnpsmoodstavce"/>
    <w:uiPriority w:val="20"/>
    <w:qFormat/>
    <w:rsid w:val="00834BC4"/>
    <w:rPr>
      <w:i/>
      <w:iCs/>
    </w:rPr>
  </w:style>
  <w:style w:type="character" w:styleId="Odkaznakoment">
    <w:name w:val="annotation reference"/>
    <w:basedOn w:val="Standardnpsmoodstavce"/>
    <w:uiPriority w:val="99"/>
    <w:semiHidden/>
    <w:unhideWhenUsed/>
    <w:rsid w:val="00485C6E"/>
    <w:rPr>
      <w:sz w:val="16"/>
      <w:szCs w:val="16"/>
    </w:rPr>
  </w:style>
  <w:style w:type="paragraph" w:styleId="Pedmtkomente">
    <w:name w:val="annotation subject"/>
    <w:basedOn w:val="Textkomente"/>
    <w:next w:val="Textkomente"/>
    <w:link w:val="PedmtkomenteChar"/>
    <w:uiPriority w:val="99"/>
    <w:semiHidden/>
    <w:unhideWhenUsed/>
    <w:rsid w:val="00485C6E"/>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85C6E"/>
    <w:rPr>
      <w:rFonts w:ascii="Times New Roman" w:eastAsia="Times New Roman" w:hAnsi="Times New Roman" w:cs="Times New Roman"/>
      <w:b/>
      <w:bCs/>
      <w:sz w:val="20"/>
      <w:szCs w:val="20"/>
      <w:lang w:eastAsia="cs-CZ"/>
    </w:rPr>
  </w:style>
  <w:style w:type="paragraph" w:styleId="Revize">
    <w:name w:val="Revision"/>
    <w:hidden/>
    <w:uiPriority w:val="99"/>
    <w:semiHidden/>
    <w:rsid w:val="00485C6E"/>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46C65"/>
    <w:rPr>
      <w:b/>
      <w:bCs/>
    </w:rPr>
  </w:style>
  <w:style w:type="character" w:customStyle="1" w:styleId="Nevyeenzmnka1">
    <w:name w:val="Nevyřešená zmínka1"/>
    <w:basedOn w:val="Standardnpsmoodstavce"/>
    <w:uiPriority w:val="99"/>
    <w:semiHidden/>
    <w:unhideWhenUsed/>
    <w:rsid w:val="002C5AB5"/>
    <w:rPr>
      <w:color w:val="605E5C"/>
      <w:shd w:val="clear" w:color="auto" w:fill="E1DFDD"/>
    </w:rPr>
  </w:style>
  <w:style w:type="paragraph" w:customStyle="1" w:styleId="paragraph">
    <w:name w:val="paragraph"/>
    <w:basedOn w:val="Normln"/>
    <w:rsid w:val="00A17B92"/>
    <w:pPr>
      <w:spacing w:before="100" w:beforeAutospacing="1" w:after="100" w:afterAutospacing="1"/>
    </w:pPr>
  </w:style>
  <w:style w:type="character" w:customStyle="1" w:styleId="normaltextrun">
    <w:name w:val="normaltextrun"/>
    <w:basedOn w:val="Standardnpsmoodstavce"/>
    <w:rsid w:val="00A17B92"/>
  </w:style>
  <w:style w:type="character" w:customStyle="1" w:styleId="eop">
    <w:name w:val="eop"/>
    <w:basedOn w:val="Standardnpsmoodstavce"/>
    <w:rsid w:val="00A17B92"/>
  </w:style>
  <w:style w:type="character" w:customStyle="1" w:styleId="spellingerror">
    <w:name w:val="spellingerror"/>
    <w:basedOn w:val="Standardnpsmoodstavce"/>
    <w:rsid w:val="00A17B92"/>
  </w:style>
  <w:style w:type="character" w:customStyle="1" w:styleId="contextualspellingandgrammarerror">
    <w:name w:val="contextualspellingandgrammarerror"/>
    <w:basedOn w:val="Standardnpsmoodstavce"/>
    <w:rsid w:val="00A17B92"/>
  </w:style>
  <w:style w:type="character" w:styleId="Sledovanodkaz">
    <w:name w:val="FollowedHyperlink"/>
    <w:basedOn w:val="Standardnpsmoodstavce"/>
    <w:uiPriority w:val="99"/>
    <w:semiHidden/>
    <w:unhideWhenUsed/>
    <w:rsid w:val="00607062"/>
    <w:rPr>
      <w:color w:val="800080" w:themeColor="followedHyperlink"/>
      <w:u w:val="single"/>
    </w:rPr>
  </w:style>
  <w:style w:type="character" w:customStyle="1" w:styleId="Nevyeenzmnka2">
    <w:name w:val="Nevyřešená zmínka2"/>
    <w:basedOn w:val="Standardnpsmoodstavce"/>
    <w:uiPriority w:val="99"/>
    <w:semiHidden/>
    <w:unhideWhenUsed/>
    <w:rsid w:val="001F4CEB"/>
    <w:rPr>
      <w:color w:val="605E5C"/>
      <w:shd w:val="clear" w:color="auto" w:fill="E1DFDD"/>
    </w:rPr>
  </w:style>
  <w:style w:type="character" w:customStyle="1" w:styleId="Nevyeenzmnka3">
    <w:name w:val="Nevyřešená zmínka3"/>
    <w:basedOn w:val="Standardnpsmoodstavce"/>
    <w:uiPriority w:val="99"/>
    <w:semiHidden/>
    <w:unhideWhenUsed/>
    <w:rsid w:val="00FD7A94"/>
    <w:rPr>
      <w:color w:val="605E5C"/>
      <w:shd w:val="clear" w:color="auto" w:fill="E1DFDD"/>
    </w:rPr>
  </w:style>
  <w:style w:type="character" w:styleId="Nevyeenzmnka">
    <w:name w:val="Unresolved Mention"/>
    <w:basedOn w:val="Standardnpsmoodstavce"/>
    <w:uiPriority w:val="99"/>
    <w:semiHidden/>
    <w:unhideWhenUsed/>
    <w:rsid w:val="00D42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3009">
      <w:bodyDiv w:val="1"/>
      <w:marLeft w:val="0"/>
      <w:marRight w:val="0"/>
      <w:marTop w:val="0"/>
      <w:marBottom w:val="0"/>
      <w:divBdr>
        <w:top w:val="none" w:sz="0" w:space="0" w:color="auto"/>
        <w:left w:val="none" w:sz="0" w:space="0" w:color="auto"/>
        <w:bottom w:val="none" w:sz="0" w:space="0" w:color="auto"/>
        <w:right w:val="none" w:sz="0" w:space="0" w:color="auto"/>
      </w:divBdr>
    </w:div>
    <w:div w:id="121773434">
      <w:bodyDiv w:val="1"/>
      <w:marLeft w:val="0"/>
      <w:marRight w:val="0"/>
      <w:marTop w:val="0"/>
      <w:marBottom w:val="0"/>
      <w:divBdr>
        <w:top w:val="none" w:sz="0" w:space="0" w:color="auto"/>
        <w:left w:val="none" w:sz="0" w:space="0" w:color="auto"/>
        <w:bottom w:val="none" w:sz="0" w:space="0" w:color="auto"/>
        <w:right w:val="none" w:sz="0" w:space="0" w:color="auto"/>
      </w:divBdr>
    </w:div>
    <w:div w:id="251859191">
      <w:bodyDiv w:val="1"/>
      <w:marLeft w:val="0"/>
      <w:marRight w:val="0"/>
      <w:marTop w:val="0"/>
      <w:marBottom w:val="0"/>
      <w:divBdr>
        <w:top w:val="none" w:sz="0" w:space="0" w:color="auto"/>
        <w:left w:val="none" w:sz="0" w:space="0" w:color="auto"/>
        <w:bottom w:val="none" w:sz="0" w:space="0" w:color="auto"/>
        <w:right w:val="none" w:sz="0" w:space="0" w:color="auto"/>
      </w:divBdr>
    </w:div>
    <w:div w:id="573013014">
      <w:bodyDiv w:val="1"/>
      <w:marLeft w:val="0"/>
      <w:marRight w:val="0"/>
      <w:marTop w:val="0"/>
      <w:marBottom w:val="0"/>
      <w:divBdr>
        <w:top w:val="none" w:sz="0" w:space="0" w:color="auto"/>
        <w:left w:val="none" w:sz="0" w:space="0" w:color="auto"/>
        <w:bottom w:val="none" w:sz="0" w:space="0" w:color="auto"/>
        <w:right w:val="none" w:sz="0" w:space="0" w:color="auto"/>
      </w:divBdr>
    </w:div>
    <w:div w:id="959383626">
      <w:bodyDiv w:val="1"/>
      <w:marLeft w:val="0"/>
      <w:marRight w:val="0"/>
      <w:marTop w:val="0"/>
      <w:marBottom w:val="0"/>
      <w:divBdr>
        <w:top w:val="none" w:sz="0" w:space="0" w:color="auto"/>
        <w:left w:val="none" w:sz="0" w:space="0" w:color="auto"/>
        <w:bottom w:val="none" w:sz="0" w:space="0" w:color="auto"/>
        <w:right w:val="none" w:sz="0" w:space="0" w:color="auto"/>
      </w:divBdr>
      <w:divsChild>
        <w:div w:id="1492790616">
          <w:marLeft w:val="0"/>
          <w:marRight w:val="0"/>
          <w:marTop w:val="0"/>
          <w:marBottom w:val="0"/>
          <w:divBdr>
            <w:top w:val="none" w:sz="0" w:space="0" w:color="auto"/>
            <w:left w:val="none" w:sz="0" w:space="0" w:color="auto"/>
            <w:bottom w:val="none" w:sz="0" w:space="0" w:color="auto"/>
            <w:right w:val="none" w:sz="0" w:space="0" w:color="auto"/>
          </w:divBdr>
          <w:divsChild>
            <w:div w:id="384574325">
              <w:marLeft w:val="0"/>
              <w:marRight w:val="0"/>
              <w:marTop w:val="0"/>
              <w:marBottom w:val="0"/>
              <w:divBdr>
                <w:top w:val="none" w:sz="0" w:space="0" w:color="auto"/>
                <w:left w:val="none" w:sz="0" w:space="0" w:color="auto"/>
                <w:bottom w:val="none" w:sz="0" w:space="0" w:color="auto"/>
                <w:right w:val="none" w:sz="0" w:space="0" w:color="auto"/>
              </w:divBdr>
            </w:div>
            <w:div w:id="1376585785">
              <w:marLeft w:val="0"/>
              <w:marRight w:val="0"/>
              <w:marTop w:val="0"/>
              <w:marBottom w:val="0"/>
              <w:divBdr>
                <w:top w:val="none" w:sz="0" w:space="0" w:color="auto"/>
                <w:left w:val="none" w:sz="0" w:space="0" w:color="auto"/>
                <w:bottom w:val="none" w:sz="0" w:space="0" w:color="auto"/>
                <w:right w:val="none" w:sz="0" w:space="0" w:color="auto"/>
              </w:divBdr>
            </w:div>
            <w:div w:id="1927692724">
              <w:marLeft w:val="0"/>
              <w:marRight w:val="0"/>
              <w:marTop w:val="0"/>
              <w:marBottom w:val="0"/>
              <w:divBdr>
                <w:top w:val="none" w:sz="0" w:space="0" w:color="auto"/>
                <w:left w:val="none" w:sz="0" w:space="0" w:color="auto"/>
                <w:bottom w:val="none" w:sz="0" w:space="0" w:color="auto"/>
                <w:right w:val="none" w:sz="0" w:space="0" w:color="auto"/>
              </w:divBdr>
            </w:div>
            <w:div w:id="554658174">
              <w:marLeft w:val="0"/>
              <w:marRight w:val="0"/>
              <w:marTop w:val="0"/>
              <w:marBottom w:val="0"/>
              <w:divBdr>
                <w:top w:val="none" w:sz="0" w:space="0" w:color="auto"/>
                <w:left w:val="none" w:sz="0" w:space="0" w:color="auto"/>
                <w:bottom w:val="none" w:sz="0" w:space="0" w:color="auto"/>
                <w:right w:val="none" w:sz="0" w:space="0" w:color="auto"/>
              </w:divBdr>
            </w:div>
            <w:div w:id="810555269">
              <w:marLeft w:val="0"/>
              <w:marRight w:val="0"/>
              <w:marTop w:val="0"/>
              <w:marBottom w:val="0"/>
              <w:divBdr>
                <w:top w:val="none" w:sz="0" w:space="0" w:color="auto"/>
                <w:left w:val="none" w:sz="0" w:space="0" w:color="auto"/>
                <w:bottom w:val="none" w:sz="0" w:space="0" w:color="auto"/>
                <w:right w:val="none" w:sz="0" w:space="0" w:color="auto"/>
              </w:divBdr>
            </w:div>
          </w:divsChild>
        </w:div>
        <w:div w:id="1537959752">
          <w:marLeft w:val="0"/>
          <w:marRight w:val="0"/>
          <w:marTop w:val="0"/>
          <w:marBottom w:val="0"/>
          <w:divBdr>
            <w:top w:val="none" w:sz="0" w:space="0" w:color="auto"/>
            <w:left w:val="none" w:sz="0" w:space="0" w:color="auto"/>
            <w:bottom w:val="none" w:sz="0" w:space="0" w:color="auto"/>
            <w:right w:val="none" w:sz="0" w:space="0" w:color="auto"/>
          </w:divBdr>
          <w:divsChild>
            <w:div w:id="777531737">
              <w:marLeft w:val="0"/>
              <w:marRight w:val="0"/>
              <w:marTop w:val="0"/>
              <w:marBottom w:val="0"/>
              <w:divBdr>
                <w:top w:val="none" w:sz="0" w:space="0" w:color="auto"/>
                <w:left w:val="none" w:sz="0" w:space="0" w:color="auto"/>
                <w:bottom w:val="none" w:sz="0" w:space="0" w:color="auto"/>
                <w:right w:val="none" w:sz="0" w:space="0" w:color="auto"/>
              </w:divBdr>
            </w:div>
            <w:div w:id="810366441">
              <w:marLeft w:val="0"/>
              <w:marRight w:val="0"/>
              <w:marTop w:val="0"/>
              <w:marBottom w:val="0"/>
              <w:divBdr>
                <w:top w:val="none" w:sz="0" w:space="0" w:color="auto"/>
                <w:left w:val="none" w:sz="0" w:space="0" w:color="auto"/>
                <w:bottom w:val="none" w:sz="0" w:space="0" w:color="auto"/>
                <w:right w:val="none" w:sz="0" w:space="0" w:color="auto"/>
              </w:divBdr>
            </w:div>
            <w:div w:id="1248072440">
              <w:marLeft w:val="0"/>
              <w:marRight w:val="0"/>
              <w:marTop w:val="0"/>
              <w:marBottom w:val="0"/>
              <w:divBdr>
                <w:top w:val="none" w:sz="0" w:space="0" w:color="auto"/>
                <w:left w:val="none" w:sz="0" w:space="0" w:color="auto"/>
                <w:bottom w:val="none" w:sz="0" w:space="0" w:color="auto"/>
                <w:right w:val="none" w:sz="0" w:space="0" w:color="auto"/>
              </w:divBdr>
            </w:div>
            <w:div w:id="793643894">
              <w:marLeft w:val="0"/>
              <w:marRight w:val="0"/>
              <w:marTop w:val="0"/>
              <w:marBottom w:val="0"/>
              <w:divBdr>
                <w:top w:val="none" w:sz="0" w:space="0" w:color="auto"/>
                <w:left w:val="none" w:sz="0" w:space="0" w:color="auto"/>
                <w:bottom w:val="none" w:sz="0" w:space="0" w:color="auto"/>
                <w:right w:val="none" w:sz="0" w:space="0" w:color="auto"/>
              </w:divBdr>
            </w:div>
            <w:div w:id="851845104">
              <w:marLeft w:val="0"/>
              <w:marRight w:val="0"/>
              <w:marTop w:val="0"/>
              <w:marBottom w:val="0"/>
              <w:divBdr>
                <w:top w:val="none" w:sz="0" w:space="0" w:color="auto"/>
                <w:left w:val="none" w:sz="0" w:space="0" w:color="auto"/>
                <w:bottom w:val="none" w:sz="0" w:space="0" w:color="auto"/>
                <w:right w:val="none" w:sz="0" w:space="0" w:color="auto"/>
              </w:divBdr>
            </w:div>
          </w:divsChild>
        </w:div>
        <w:div w:id="1788968884">
          <w:marLeft w:val="0"/>
          <w:marRight w:val="0"/>
          <w:marTop w:val="0"/>
          <w:marBottom w:val="0"/>
          <w:divBdr>
            <w:top w:val="none" w:sz="0" w:space="0" w:color="auto"/>
            <w:left w:val="none" w:sz="0" w:space="0" w:color="auto"/>
            <w:bottom w:val="none" w:sz="0" w:space="0" w:color="auto"/>
            <w:right w:val="none" w:sz="0" w:space="0" w:color="auto"/>
          </w:divBdr>
          <w:divsChild>
            <w:div w:id="1387409106">
              <w:marLeft w:val="0"/>
              <w:marRight w:val="0"/>
              <w:marTop w:val="0"/>
              <w:marBottom w:val="0"/>
              <w:divBdr>
                <w:top w:val="none" w:sz="0" w:space="0" w:color="auto"/>
                <w:left w:val="none" w:sz="0" w:space="0" w:color="auto"/>
                <w:bottom w:val="none" w:sz="0" w:space="0" w:color="auto"/>
                <w:right w:val="none" w:sz="0" w:space="0" w:color="auto"/>
              </w:divBdr>
            </w:div>
            <w:div w:id="1452044487">
              <w:marLeft w:val="0"/>
              <w:marRight w:val="0"/>
              <w:marTop w:val="0"/>
              <w:marBottom w:val="0"/>
              <w:divBdr>
                <w:top w:val="none" w:sz="0" w:space="0" w:color="auto"/>
                <w:left w:val="none" w:sz="0" w:space="0" w:color="auto"/>
                <w:bottom w:val="none" w:sz="0" w:space="0" w:color="auto"/>
                <w:right w:val="none" w:sz="0" w:space="0" w:color="auto"/>
              </w:divBdr>
            </w:div>
            <w:div w:id="475531115">
              <w:marLeft w:val="0"/>
              <w:marRight w:val="0"/>
              <w:marTop w:val="0"/>
              <w:marBottom w:val="0"/>
              <w:divBdr>
                <w:top w:val="none" w:sz="0" w:space="0" w:color="auto"/>
                <w:left w:val="none" w:sz="0" w:space="0" w:color="auto"/>
                <w:bottom w:val="none" w:sz="0" w:space="0" w:color="auto"/>
                <w:right w:val="none" w:sz="0" w:space="0" w:color="auto"/>
              </w:divBdr>
            </w:div>
            <w:div w:id="613560500">
              <w:marLeft w:val="0"/>
              <w:marRight w:val="0"/>
              <w:marTop w:val="0"/>
              <w:marBottom w:val="0"/>
              <w:divBdr>
                <w:top w:val="none" w:sz="0" w:space="0" w:color="auto"/>
                <w:left w:val="none" w:sz="0" w:space="0" w:color="auto"/>
                <w:bottom w:val="none" w:sz="0" w:space="0" w:color="auto"/>
                <w:right w:val="none" w:sz="0" w:space="0" w:color="auto"/>
              </w:divBdr>
            </w:div>
            <w:div w:id="176308752">
              <w:marLeft w:val="0"/>
              <w:marRight w:val="0"/>
              <w:marTop w:val="0"/>
              <w:marBottom w:val="0"/>
              <w:divBdr>
                <w:top w:val="none" w:sz="0" w:space="0" w:color="auto"/>
                <w:left w:val="none" w:sz="0" w:space="0" w:color="auto"/>
                <w:bottom w:val="none" w:sz="0" w:space="0" w:color="auto"/>
                <w:right w:val="none" w:sz="0" w:space="0" w:color="auto"/>
              </w:divBdr>
            </w:div>
          </w:divsChild>
        </w:div>
        <w:div w:id="1825075427">
          <w:marLeft w:val="0"/>
          <w:marRight w:val="0"/>
          <w:marTop w:val="0"/>
          <w:marBottom w:val="0"/>
          <w:divBdr>
            <w:top w:val="none" w:sz="0" w:space="0" w:color="auto"/>
            <w:left w:val="none" w:sz="0" w:space="0" w:color="auto"/>
            <w:bottom w:val="none" w:sz="0" w:space="0" w:color="auto"/>
            <w:right w:val="none" w:sz="0" w:space="0" w:color="auto"/>
          </w:divBdr>
          <w:divsChild>
            <w:div w:id="1250381552">
              <w:marLeft w:val="0"/>
              <w:marRight w:val="0"/>
              <w:marTop w:val="0"/>
              <w:marBottom w:val="0"/>
              <w:divBdr>
                <w:top w:val="none" w:sz="0" w:space="0" w:color="auto"/>
                <w:left w:val="none" w:sz="0" w:space="0" w:color="auto"/>
                <w:bottom w:val="none" w:sz="0" w:space="0" w:color="auto"/>
                <w:right w:val="none" w:sz="0" w:space="0" w:color="auto"/>
              </w:divBdr>
            </w:div>
            <w:div w:id="1585989143">
              <w:marLeft w:val="0"/>
              <w:marRight w:val="0"/>
              <w:marTop w:val="0"/>
              <w:marBottom w:val="0"/>
              <w:divBdr>
                <w:top w:val="none" w:sz="0" w:space="0" w:color="auto"/>
                <w:left w:val="none" w:sz="0" w:space="0" w:color="auto"/>
                <w:bottom w:val="none" w:sz="0" w:space="0" w:color="auto"/>
                <w:right w:val="none" w:sz="0" w:space="0" w:color="auto"/>
              </w:divBdr>
            </w:div>
            <w:div w:id="72901312">
              <w:marLeft w:val="0"/>
              <w:marRight w:val="0"/>
              <w:marTop w:val="0"/>
              <w:marBottom w:val="0"/>
              <w:divBdr>
                <w:top w:val="none" w:sz="0" w:space="0" w:color="auto"/>
                <w:left w:val="none" w:sz="0" w:space="0" w:color="auto"/>
                <w:bottom w:val="none" w:sz="0" w:space="0" w:color="auto"/>
                <w:right w:val="none" w:sz="0" w:space="0" w:color="auto"/>
              </w:divBdr>
            </w:div>
            <w:div w:id="1933466991">
              <w:marLeft w:val="0"/>
              <w:marRight w:val="0"/>
              <w:marTop w:val="0"/>
              <w:marBottom w:val="0"/>
              <w:divBdr>
                <w:top w:val="none" w:sz="0" w:space="0" w:color="auto"/>
                <w:left w:val="none" w:sz="0" w:space="0" w:color="auto"/>
                <w:bottom w:val="none" w:sz="0" w:space="0" w:color="auto"/>
                <w:right w:val="none" w:sz="0" w:space="0" w:color="auto"/>
              </w:divBdr>
            </w:div>
            <w:div w:id="4333856">
              <w:marLeft w:val="0"/>
              <w:marRight w:val="0"/>
              <w:marTop w:val="0"/>
              <w:marBottom w:val="0"/>
              <w:divBdr>
                <w:top w:val="none" w:sz="0" w:space="0" w:color="auto"/>
                <w:left w:val="none" w:sz="0" w:space="0" w:color="auto"/>
                <w:bottom w:val="none" w:sz="0" w:space="0" w:color="auto"/>
                <w:right w:val="none" w:sz="0" w:space="0" w:color="auto"/>
              </w:divBdr>
            </w:div>
          </w:divsChild>
        </w:div>
        <w:div w:id="120077683">
          <w:marLeft w:val="0"/>
          <w:marRight w:val="0"/>
          <w:marTop w:val="0"/>
          <w:marBottom w:val="0"/>
          <w:divBdr>
            <w:top w:val="none" w:sz="0" w:space="0" w:color="auto"/>
            <w:left w:val="none" w:sz="0" w:space="0" w:color="auto"/>
            <w:bottom w:val="none" w:sz="0" w:space="0" w:color="auto"/>
            <w:right w:val="none" w:sz="0" w:space="0" w:color="auto"/>
          </w:divBdr>
          <w:divsChild>
            <w:div w:id="1901088719">
              <w:marLeft w:val="0"/>
              <w:marRight w:val="0"/>
              <w:marTop w:val="0"/>
              <w:marBottom w:val="0"/>
              <w:divBdr>
                <w:top w:val="none" w:sz="0" w:space="0" w:color="auto"/>
                <w:left w:val="none" w:sz="0" w:space="0" w:color="auto"/>
                <w:bottom w:val="none" w:sz="0" w:space="0" w:color="auto"/>
                <w:right w:val="none" w:sz="0" w:space="0" w:color="auto"/>
              </w:divBdr>
            </w:div>
            <w:div w:id="1480808260">
              <w:marLeft w:val="0"/>
              <w:marRight w:val="0"/>
              <w:marTop w:val="0"/>
              <w:marBottom w:val="0"/>
              <w:divBdr>
                <w:top w:val="none" w:sz="0" w:space="0" w:color="auto"/>
                <w:left w:val="none" w:sz="0" w:space="0" w:color="auto"/>
                <w:bottom w:val="none" w:sz="0" w:space="0" w:color="auto"/>
                <w:right w:val="none" w:sz="0" w:space="0" w:color="auto"/>
              </w:divBdr>
            </w:div>
            <w:div w:id="1921477307">
              <w:marLeft w:val="0"/>
              <w:marRight w:val="0"/>
              <w:marTop w:val="0"/>
              <w:marBottom w:val="0"/>
              <w:divBdr>
                <w:top w:val="none" w:sz="0" w:space="0" w:color="auto"/>
                <w:left w:val="none" w:sz="0" w:space="0" w:color="auto"/>
                <w:bottom w:val="none" w:sz="0" w:space="0" w:color="auto"/>
                <w:right w:val="none" w:sz="0" w:space="0" w:color="auto"/>
              </w:divBdr>
            </w:div>
            <w:div w:id="615715395">
              <w:marLeft w:val="0"/>
              <w:marRight w:val="0"/>
              <w:marTop w:val="0"/>
              <w:marBottom w:val="0"/>
              <w:divBdr>
                <w:top w:val="none" w:sz="0" w:space="0" w:color="auto"/>
                <w:left w:val="none" w:sz="0" w:space="0" w:color="auto"/>
                <w:bottom w:val="none" w:sz="0" w:space="0" w:color="auto"/>
                <w:right w:val="none" w:sz="0" w:space="0" w:color="auto"/>
              </w:divBdr>
            </w:div>
            <w:div w:id="423649687">
              <w:marLeft w:val="0"/>
              <w:marRight w:val="0"/>
              <w:marTop w:val="0"/>
              <w:marBottom w:val="0"/>
              <w:divBdr>
                <w:top w:val="none" w:sz="0" w:space="0" w:color="auto"/>
                <w:left w:val="none" w:sz="0" w:space="0" w:color="auto"/>
                <w:bottom w:val="none" w:sz="0" w:space="0" w:color="auto"/>
                <w:right w:val="none" w:sz="0" w:space="0" w:color="auto"/>
              </w:divBdr>
            </w:div>
          </w:divsChild>
        </w:div>
        <w:div w:id="2076733980">
          <w:marLeft w:val="0"/>
          <w:marRight w:val="0"/>
          <w:marTop w:val="0"/>
          <w:marBottom w:val="0"/>
          <w:divBdr>
            <w:top w:val="none" w:sz="0" w:space="0" w:color="auto"/>
            <w:left w:val="none" w:sz="0" w:space="0" w:color="auto"/>
            <w:bottom w:val="none" w:sz="0" w:space="0" w:color="auto"/>
            <w:right w:val="none" w:sz="0" w:space="0" w:color="auto"/>
          </w:divBdr>
          <w:divsChild>
            <w:div w:id="2024283747">
              <w:marLeft w:val="0"/>
              <w:marRight w:val="0"/>
              <w:marTop w:val="0"/>
              <w:marBottom w:val="0"/>
              <w:divBdr>
                <w:top w:val="none" w:sz="0" w:space="0" w:color="auto"/>
                <w:left w:val="none" w:sz="0" w:space="0" w:color="auto"/>
                <w:bottom w:val="none" w:sz="0" w:space="0" w:color="auto"/>
                <w:right w:val="none" w:sz="0" w:space="0" w:color="auto"/>
              </w:divBdr>
            </w:div>
            <w:div w:id="1612400692">
              <w:marLeft w:val="0"/>
              <w:marRight w:val="0"/>
              <w:marTop w:val="0"/>
              <w:marBottom w:val="0"/>
              <w:divBdr>
                <w:top w:val="none" w:sz="0" w:space="0" w:color="auto"/>
                <w:left w:val="none" w:sz="0" w:space="0" w:color="auto"/>
                <w:bottom w:val="none" w:sz="0" w:space="0" w:color="auto"/>
                <w:right w:val="none" w:sz="0" w:space="0" w:color="auto"/>
              </w:divBdr>
            </w:div>
            <w:div w:id="576137635">
              <w:marLeft w:val="0"/>
              <w:marRight w:val="0"/>
              <w:marTop w:val="0"/>
              <w:marBottom w:val="0"/>
              <w:divBdr>
                <w:top w:val="none" w:sz="0" w:space="0" w:color="auto"/>
                <w:left w:val="none" w:sz="0" w:space="0" w:color="auto"/>
                <w:bottom w:val="none" w:sz="0" w:space="0" w:color="auto"/>
                <w:right w:val="none" w:sz="0" w:space="0" w:color="auto"/>
              </w:divBdr>
            </w:div>
            <w:div w:id="1531719921">
              <w:marLeft w:val="0"/>
              <w:marRight w:val="0"/>
              <w:marTop w:val="0"/>
              <w:marBottom w:val="0"/>
              <w:divBdr>
                <w:top w:val="none" w:sz="0" w:space="0" w:color="auto"/>
                <w:left w:val="none" w:sz="0" w:space="0" w:color="auto"/>
                <w:bottom w:val="none" w:sz="0" w:space="0" w:color="auto"/>
                <w:right w:val="none" w:sz="0" w:space="0" w:color="auto"/>
              </w:divBdr>
            </w:div>
            <w:div w:id="908928242">
              <w:marLeft w:val="0"/>
              <w:marRight w:val="0"/>
              <w:marTop w:val="0"/>
              <w:marBottom w:val="0"/>
              <w:divBdr>
                <w:top w:val="none" w:sz="0" w:space="0" w:color="auto"/>
                <w:left w:val="none" w:sz="0" w:space="0" w:color="auto"/>
                <w:bottom w:val="none" w:sz="0" w:space="0" w:color="auto"/>
                <w:right w:val="none" w:sz="0" w:space="0" w:color="auto"/>
              </w:divBdr>
            </w:div>
          </w:divsChild>
        </w:div>
        <w:div w:id="959074764">
          <w:marLeft w:val="0"/>
          <w:marRight w:val="0"/>
          <w:marTop w:val="0"/>
          <w:marBottom w:val="0"/>
          <w:divBdr>
            <w:top w:val="none" w:sz="0" w:space="0" w:color="auto"/>
            <w:left w:val="none" w:sz="0" w:space="0" w:color="auto"/>
            <w:bottom w:val="none" w:sz="0" w:space="0" w:color="auto"/>
            <w:right w:val="none" w:sz="0" w:space="0" w:color="auto"/>
          </w:divBdr>
          <w:divsChild>
            <w:div w:id="1028606749">
              <w:marLeft w:val="0"/>
              <w:marRight w:val="0"/>
              <w:marTop w:val="0"/>
              <w:marBottom w:val="0"/>
              <w:divBdr>
                <w:top w:val="none" w:sz="0" w:space="0" w:color="auto"/>
                <w:left w:val="none" w:sz="0" w:space="0" w:color="auto"/>
                <w:bottom w:val="none" w:sz="0" w:space="0" w:color="auto"/>
                <w:right w:val="none" w:sz="0" w:space="0" w:color="auto"/>
              </w:divBdr>
            </w:div>
            <w:div w:id="1065223572">
              <w:marLeft w:val="0"/>
              <w:marRight w:val="0"/>
              <w:marTop w:val="0"/>
              <w:marBottom w:val="0"/>
              <w:divBdr>
                <w:top w:val="none" w:sz="0" w:space="0" w:color="auto"/>
                <w:left w:val="none" w:sz="0" w:space="0" w:color="auto"/>
                <w:bottom w:val="none" w:sz="0" w:space="0" w:color="auto"/>
                <w:right w:val="none" w:sz="0" w:space="0" w:color="auto"/>
              </w:divBdr>
            </w:div>
            <w:div w:id="15349045">
              <w:marLeft w:val="0"/>
              <w:marRight w:val="0"/>
              <w:marTop w:val="0"/>
              <w:marBottom w:val="0"/>
              <w:divBdr>
                <w:top w:val="none" w:sz="0" w:space="0" w:color="auto"/>
                <w:left w:val="none" w:sz="0" w:space="0" w:color="auto"/>
                <w:bottom w:val="none" w:sz="0" w:space="0" w:color="auto"/>
                <w:right w:val="none" w:sz="0" w:space="0" w:color="auto"/>
              </w:divBdr>
            </w:div>
            <w:div w:id="1487698177">
              <w:marLeft w:val="0"/>
              <w:marRight w:val="0"/>
              <w:marTop w:val="0"/>
              <w:marBottom w:val="0"/>
              <w:divBdr>
                <w:top w:val="none" w:sz="0" w:space="0" w:color="auto"/>
                <w:left w:val="none" w:sz="0" w:space="0" w:color="auto"/>
                <w:bottom w:val="none" w:sz="0" w:space="0" w:color="auto"/>
                <w:right w:val="none" w:sz="0" w:space="0" w:color="auto"/>
              </w:divBdr>
            </w:div>
            <w:div w:id="1054887009">
              <w:marLeft w:val="0"/>
              <w:marRight w:val="0"/>
              <w:marTop w:val="0"/>
              <w:marBottom w:val="0"/>
              <w:divBdr>
                <w:top w:val="none" w:sz="0" w:space="0" w:color="auto"/>
                <w:left w:val="none" w:sz="0" w:space="0" w:color="auto"/>
                <w:bottom w:val="none" w:sz="0" w:space="0" w:color="auto"/>
                <w:right w:val="none" w:sz="0" w:space="0" w:color="auto"/>
              </w:divBdr>
            </w:div>
          </w:divsChild>
        </w:div>
        <w:div w:id="2085103875">
          <w:marLeft w:val="0"/>
          <w:marRight w:val="0"/>
          <w:marTop w:val="0"/>
          <w:marBottom w:val="0"/>
          <w:divBdr>
            <w:top w:val="none" w:sz="0" w:space="0" w:color="auto"/>
            <w:left w:val="none" w:sz="0" w:space="0" w:color="auto"/>
            <w:bottom w:val="none" w:sz="0" w:space="0" w:color="auto"/>
            <w:right w:val="none" w:sz="0" w:space="0" w:color="auto"/>
          </w:divBdr>
          <w:divsChild>
            <w:div w:id="440104393">
              <w:marLeft w:val="0"/>
              <w:marRight w:val="0"/>
              <w:marTop w:val="0"/>
              <w:marBottom w:val="0"/>
              <w:divBdr>
                <w:top w:val="none" w:sz="0" w:space="0" w:color="auto"/>
                <w:left w:val="none" w:sz="0" w:space="0" w:color="auto"/>
                <w:bottom w:val="none" w:sz="0" w:space="0" w:color="auto"/>
                <w:right w:val="none" w:sz="0" w:space="0" w:color="auto"/>
              </w:divBdr>
            </w:div>
            <w:div w:id="1082071616">
              <w:marLeft w:val="0"/>
              <w:marRight w:val="0"/>
              <w:marTop w:val="0"/>
              <w:marBottom w:val="0"/>
              <w:divBdr>
                <w:top w:val="none" w:sz="0" w:space="0" w:color="auto"/>
                <w:left w:val="none" w:sz="0" w:space="0" w:color="auto"/>
                <w:bottom w:val="none" w:sz="0" w:space="0" w:color="auto"/>
                <w:right w:val="none" w:sz="0" w:space="0" w:color="auto"/>
              </w:divBdr>
            </w:div>
            <w:div w:id="514461049">
              <w:marLeft w:val="0"/>
              <w:marRight w:val="0"/>
              <w:marTop w:val="0"/>
              <w:marBottom w:val="0"/>
              <w:divBdr>
                <w:top w:val="none" w:sz="0" w:space="0" w:color="auto"/>
                <w:left w:val="none" w:sz="0" w:space="0" w:color="auto"/>
                <w:bottom w:val="none" w:sz="0" w:space="0" w:color="auto"/>
                <w:right w:val="none" w:sz="0" w:space="0" w:color="auto"/>
              </w:divBdr>
            </w:div>
            <w:div w:id="1503201093">
              <w:marLeft w:val="0"/>
              <w:marRight w:val="0"/>
              <w:marTop w:val="0"/>
              <w:marBottom w:val="0"/>
              <w:divBdr>
                <w:top w:val="none" w:sz="0" w:space="0" w:color="auto"/>
                <w:left w:val="none" w:sz="0" w:space="0" w:color="auto"/>
                <w:bottom w:val="none" w:sz="0" w:space="0" w:color="auto"/>
                <w:right w:val="none" w:sz="0" w:space="0" w:color="auto"/>
              </w:divBdr>
            </w:div>
            <w:div w:id="1795640155">
              <w:marLeft w:val="0"/>
              <w:marRight w:val="0"/>
              <w:marTop w:val="0"/>
              <w:marBottom w:val="0"/>
              <w:divBdr>
                <w:top w:val="none" w:sz="0" w:space="0" w:color="auto"/>
                <w:left w:val="none" w:sz="0" w:space="0" w:color="auto"/>
                <w:bottom w:val="none" w:sz="0" w:space="0" w:color="auto"/>
                <w:right w:val="none" w:sz="0" w:space="0" w:color="auto"/>
              </w:divBdr>
            </w:div>
          </w:divsChild>
        </w:div>
        <w:div w:id="729691039">
          <w:marLeft w:val="0"/>
          <w:marRight w:val="0"/>
          <w:marTop w:val="0"/>
          <w:marBottom w:val="0"/>
          <w:divBdr>
            <w:top w:val="none" w:sz="0" w:space="0" w:color="auto"/>
            <w:left w:val="none" w:sz="0" w:space="0" w:color="auto"/>
            <w:bottom w:val="none" w:sz="0" w:space="0" w:color="auto"/>
            <w:right w:val="none" w:sz="0" w:space="0" w:color="auto"/>
          </w:divBdr>
          <w:divsChild>
            <w:div w:id="1940141255">
              <w:marLeft w:val="0"/>
              <w:marRight w:val="0"/>
              <w:marTop w:val="0"/>
              <w:marBottom w:val="0"/>
              <w:divBdr>
                <w:top w:val="none" w:sz="0" w:space="0" w:color="auto"/>
                <w:left w:val="none" w:sz="0" w:space="0" w:color="auto"/>
                <w:bottom w:val="none" w:sz="0" w:space="0" w:color="auto"/>
                <w:right w:val="none" w:sz="0" w:space="0" w:color="auto"/>
              </w:divBdr>
            </w:div>
            <w:div w:id="1103650961">
              <w:marLeft w:val="0"/>
              <w:marRight w:val="0"/>
              <w:marTop w:val="0"/>
              <w:marBottom w:val="0"/>
              <w:divBdr>
                <w:top w:val="none" w:sz="0" w:space="0" w:color="auto"/>
                <w:left w:val="none" w:sz="0" w:space="0" w:color="auto"/>
                <w:bottom w:val="none" w:sz="0" w:space="0" w:color="auto"/>
                <w:right w:val="none" w:sz="0" w:space="0" w:color="auto"/>
              </w:divBdr>
            </w:div>
            <w:div w:id="1110472623">
              <w:marLeft w:val="0"/>
              <w:marRight w:val="0"/>
              <w:marTop w:val="0"/>
              <w:marBottom w:val="0"/>
              <w:divBdr>
                <w:top w:val="none" w:sz="0" w:space="0" w:color="auto"/>
                <w:left w:val="none" w:sz="0" w:space="0" w:color="auto"/>
                <w:bottom w:val="none" w:sz="0" w:space="0" w:color="auto"/>
                <w:right w:val="none" w:sz="0" w:space="0" w:color="auto"/>
              </w:divBdr>
            </w:div>
            <w:div w:id="728309396">
              <w:marLeft w:val="0"/>
              <w:marRight w:val="0"/>
              <w:marTop w:val="0"/>
              <w:marBottom w:val="0"/>
              <w:divBdr>
                <w:top w:val="none" w:sz="0" w:space="0" w:color="auto"/>
                <w:left w:val="none" w:sz="0" w:space="0" w:color="auto"/>
                <w:bottom w:val="none" w:sz="0" w:space="0" w:color="auto"/>
                <w:right w:val="none" w:sz="0" w:space="0" w:color="auto"/>
              </w:divBdr>
            </w:div>
            <w:div w:id="651300045">
              <w:marLeft w:val="0"/>
              <w:marRight w:val="0"/>
              <w:marTop w:val="0"/>
              <w:marBottom w:val="0"/>
              <w:divBdr>
                <w:top w:val="none" w:sz="0" w:space="0" w:color="auto"/>
                <w:left w:val="none" w:sz="0" w:space="0" w:color="auto"/>
                <w:bottom w:val="none" w:sz="0" w:space="0" w:color="auto"/>
                <w:right w:val="none" w:sz="0" w:space="0" w:color="auto"/>
              </w:divBdr>
            </w:div>
          </w:divsChild>
        </w:div>
        <w:div w:id="297035195">
          <w:marLeft w:val="0"/>
          <w:marRight w:val="0"/>
          <w:marTop w:val="0"/>
          <w:marBottom w:val="0"/>
          <w:divBdr>
            <w:top w:val="none" w:sz="0" w:space="0" w:color="auto"/>
            <w:left w:val="none" w:sz="0" w:space="0" w:color="auto"/>
            <w:bottom w:val="none" w:sz="0" w:space="0" w:color="auto"/>
            <w:right w:val="none" w:sz="0" w:space="0" w:color="auto"/>
          </w:divBdr>
          <w:divsChild>
            <w:div w:id="1747651789">
              <w:marLeft w:val="0"/>
              <w:marRight w:val="0"/>
              <w:marTop w:val="0"/>
              <w:marBottom w:val="0"/>
              <w:divBdr>
                <w:top w:val="none" w:sz="0" w:space="0" w:color="auto"/>
                <w:left w:val="none" w:sz="0" w:space="0" w:color="auto"/>
                <w:bottom w:val="none" w:sz="0" w:space="0" w:color="auto"/>
                <w:right w:val="none" w:sz="0" w:space="0" w:color="auto"/>
              </w:divBdr>
            </w:div>
            <w:div w:id="549003870">
              <w:marLeft w:val="0"/>
              <w:marRight w:val="0"/>
              <w:marTop w:val="0"/>
              <w:marBottom w:val="0"/>
              <w:divBdr>
                <w:top w:val="none" w:sz="0" w:space="0" w:color="auto"/>
                <w:left w:val="none" w:sz="0" w:space="0" w:color="auto"/>
                <w:bottom w:val="none" w:sz="0" w:space="0" w:color="auto"/>
                <w:right w:val="none" w:sz="0" w:space="0" w:color="auto"/>
              </w:divBdr>
            </w:div>
            <w:div w:id="1015687">
              <w:marLeft w:val="0"/>
              <w:marRight w:val="0"/>
              <w:marTop w:val="0"/>
              <w:marBottom w:val="0"/>
              <w:divBdr>
                <w:top w:val="none" w:sz="0" w:space="0" w:color="auto"/>
                <w:left w:val="none" w:sz="0" w:space="0" w:color="auto"/>
                <w:bottom w:val="none" w:sz="0" w:space="0" w:color="auto"/>
                <w:right w:val="none" w:sz="0" w:space="0" w:color="auto"/>
              </w:divBdr>
            </w:div>
            <w:div w:id="277034706">
              <w:marLeft w:val="0"/>
              <w:marRight w:val="0"/>
              <w:marTop w:val="0"/>
              <w:marBottom w:val="0"/>
              <w:divBdr>
                <w:top w:val="none" w:sz="0" w:space="0" w:color="auto"/>
                <w:left w:val="none" w:sz="0" w:space="0" w:color="auto"/>
                <w:bottom w:val="none" w:sz="0" w:space="0" w:color="auto"/>
                <w:right w:val="none" w:sz="0" w:space="0" w:color="auto"/>
              </w:divBdr>
            </w:div>
            <w:div w:id="180945230">
              <w:marLeft w:val="0"/>
              <w:marRight w:val="0"/>
              <w:marTop w:val="0"/>
              <w:marBottom w:val="0"/>
              <w:divBdr>
                <w:top w:val="none" w:sz="0" w:space="0" w:color="auto"/>
                <w:left w:val="none" w:sz="0" w:space="0" w:color="auto"/>
                <w:bottom w:val="none" w:sz="0" w:space="0" w:color="auto"/>
                <w:right w:val="none" w:sz="0" w:space="0" w:color="auto"/>
              </w:divBdr>
            </w:div>
          </w:divsChild>
        </w:div>
        <w:div w:id="2000305806">
          <w:marLeft w:val="0"/>
          <w:marRight w:val="0"/>
          <w:marTop w:val="0"/>
          <w:marBottom w:val="0"/>
          <w:divBdr>
            <w:top w:val="none" w:sz="0" w:space="0" w:color="auto"/>
            <w:left w:val="none" w:sz="0" w:space="0" w:color="auto"/>
            <w:bottom w:val="none" w:sz="0" w:space="0" w:color="auto"/>
            <w:right w:val="none" w:sz="0" w:space="0" w:color="auto"/>
          </w:divBdr>
          <w:divsChild>
            <w:div w:id="1349679425">
              <w:marLeft w:val="0"/>
              <w:marRight w:val="0"/>
              <w:marTop w:val="0"/>
              <w:marBottom w:val="0"/>
              <w:divBdr>
                <w:top w:val="none" w:sz="0" w:space="0" w:color="auto"/>
                <w:left w:val="none" w:sz="0" w:space="0" w:color="auto"/>
                <w:bottom w:val="none" w:sz="0" w:space="0" w:color="auto"/>
                <w:right w:val="none" w:sz="0" w:space="0" w:color="auto"/>
              </w:divBdr>
            </w:div>
            <w:div w:id="1340233958">
              <w:marLeft w:val="0"/>
              <w:marRight w:val="0"/>
              <w:marTop w:val="0"/>
              <w:marBottom w:val="0"/>
              <w:divBdr>
                <w:top w:val="none" w:sz="0" w:space="0" w:color="auto"/>
                <w:left w:val="none" w:sz="0" w:space="0" w:color="auto"/>
                <w:bottom w:val="none" w:sz="0" w:space="0" w:color="auto"/>
                <w:right w:val="none" w:sz="0" w:space="0" w:color="auto"/>
              </w:divBdr>
            </w:div>
            <w:div w:id="507840056">
              <w:marLeft w:val="0"/>
              <w:marRight w:val="0"/>
              <w:marTop w:val="0"/>
              <w:marBottom w:val="0"/>
              <w:divBdr>
                <w:top w:val="none" w:sz="0" w:space="0" w:color="auto"/>
                <w:left w:val="none" w:sz="0" w:space="0" w:color="auto"/>
                <w:bottom w:val="none" w:sz="0" w:space="0" w:color="auto"/>
                <w:right w:val="none" w:sz="0" w:space="0" w:color="auto"/>
              </w:divBdr>
            </w:div>
            <w:div w:id="1699088194">
              <w:marLeft w:val="0"/>
              <w:marRight w:val="0"/>
              <w:marTop w:val="0"/>
              <w:marBottom w:val="0"/>
              <w:divBdr>
                <w:top w:val="none" w:sz="0" w:space="0" w:color="auto"/>
                <w:left w:val="none" w:sz="0" w:space="0" w:color="auto"/>
                <w:bottom w:val="none" w:sz="0" w:space="0" w:color="auto"/>
                <w:right w:val="none" w:sz="0" w:space="0" w:color="auto"/>
              </w:divBdr>
            </w:div>
            <w:div w:id="1924953650">
              <w:marLeft w:val="0"/>
              <w:marRight w:val="0"/>
              <w:marTop w:val="0"/>
              <w:marBottom w:val="0"/>
              <w:divBdr>
                <w:top w:val="none" w:sz="0" w:space="0" w:color="auto"/>
                <w:left w:val="none" w:sz="0" w:space="0" w:color="auto"/>
                <w:bottom w:val="none" w:sz="0" w:space="0" w:color="auto"/>
                <w:right w:val="none" w:sz="0" w:space="0" w:color="auto"/>
              </w:divBdr>
            </w:div>
          </w:divsChild>
        </w:div>
        <w:div w:id="1180393098">
          <w:marLeft w:val="0"/>
          <w:marRight w:val="0"/>
          <w:marTop w:val="0"/>
          <w:marBottom w:val="0"/>
          <w:divBdr>
            <w:top w:val="none" w:sz="0" w:space="0" w:color="auto"/>
            <w:left w:val="none" w:sz="0" w:space="0" w:color="auto"/>
            <w:bottom w:val="none" w:sz="0" w:space="0" w:color="auto"/>
            <w:right w:val="none" w:sz="0" w:space="0" w:color="auto"/>
          </w:divBdr>
          <w:divsChild>
            <w:div w:id="1717586403">
              <w:marLeft w:val="0"/>
              <w:marRight w:val="0"/>
              <w:marTop w:val="0"/>
              <w:marBottom w:val="0"/>
              <w:divBdr>
                <w:top w:val="none" w:sz="0" w:space="0" w:color="auto"/>
                <w:left w:val="none" w:sz="0" w:space="0" w:color="auto"/>
                <w:bottom w:val="none" w:sz="0" w:space="0" w:color="auto"/>
                <w:right w:val="none" w:sz="0" w:space="0" w:color="auto"/>
              </w:divBdr>
            </w:div>
            <w:div w:id="726151699">
              <w:marLeft w:val="0"/>
              <w:marRight w:val="0"/>
              <w:marTop w:val="0"/>
              <w:marBottom w:val="0"/>
              <w:divBdr>
                <w:top w:val="none" w:sz="0" w:space="0" w:color="auto"/>
                <w:left w:val="none" w:sz="0" w:space="0" w:color="auto"/>
                <w:bottom w:val="none" w:sz="0" w:space="0" w:color="auto"/>
                <w:right w:val="none" w:sz="0" w:space="0" w:color="auto"/>
              </w:divBdr>
            </w:div>
            <w:div w:id="422337983">
              <w:marLeft w:val="0"/>
              <w:marRight w:val="0"/>
              <w:marTop w:val="0"/>
              <w:marBottom w:val="0"/>
              <w:divBdr>
                <w:top w:val="none" w:sz="0" w:space="0" w:color="auto"/>
                <w:left w:val="none" w:sz="0" w:space="0" w:color="auto"/>
                <w:bottom w:val="none" w:sz="0" w:space="0" w:color="auto"/>
                <w:right w:val="none" w:sz="0" w:space="0" w:color="auto"/>
              </w:divBdr>
            </w:div>
            <w:div w:id="2047019409">
              <w:marLeft w:val="0"/>
              <w:marRight w:val="0"/>
              <w:marTop w:val="0"/>
              <w:marBottom w:val="0"/>
              <w:divBdr>
                <w:top w:val="none" w:sz="0" w:space="0" w:color="auto"/>
                <w:left w:val="none" w:sz="0" w:space="0" w:color="auto"/>
                <w:bottom w:val="none" w:sz="0" w:space="0" w:color="auto"/>
                <w:right w:val="none" w:sz="0" w:space="0" w:color="auto"/>
              </w:divBdr>
            </w:div>
            <w:div w:id="336272481">
              <w:marLeft w:val="0"/>
              <w:marRight w:val="0"/>
              <w:marTop w:val="0"/>
              <w:marBottom w:val="0"/>
              <w:divBdr>
                <w:top w:val="none" w:sz="0" w:space="0" w:color="auto"/>
                <w:left w:val="none" w:sz="0" w:space="0" w:color="auto"/>
                <w:bottom w:val="none" w:sz="0" w:space="0" w:color="auto"/>
                <w:right w:val="none" w:sz="0" w:space="0" w:color="auto"/>
              </w:divBdr>
            </w:div>
          </w:divsChild>
        </w:div>
        <w:div w:id="448398452">
          <w:marLeft w:val="0"/>
          <w:marRight w:val="0"/>
          <w:marTop w:val="0"/>
          <w:marBottom w:val="0"/>
          <w:divBdr>
            <w:top w:val="none" w:sz="0" w:space="0" w:color="auto"/>
            <w:left w:val="none" w:sz="0" w:space="0" w:color="auto"/>
            <w:bottom w:val="none" w:sz="0" w:space="0" w:color="auto"/>
            <w:right w:val="none" w:sz="0" w:space="0" w:color="auto"/>
          </w:divBdr>
          <w:divsChild>
            <w:div w:id="2058359999">
              <w:marLeft w:val="0"/>
              <w:marRight w:val="0"/>
              <w:marTop w:val="0"/>
              <w:marBottom w:val="0"/>
              <w:divBdr>
                <w:top w:val="none" w:sz="0" w:space="0" w:color="auto"/>
                <w:left w:val="none" w:sz="0" w:space="0" w:color="auto"/>
                <w:bottom w:val="none" w:sz="0" w:space="0" w:color="auto"/>
                <w:right w:val="none" w:sz="0" w:space="0" w:color="auto"/>
              </w:divBdr>
            </w:div>
            <w:div w:id="2010672659">
              <w:marLeft w:val="0"/>
              <w:marRight w:val="0"/>
              <w:marTop w:val="0"/>
              <w:marBottom w:val="0"/>
              <w:divBdr>
                <w:top w:val="none" w:sz="0" w:space="0" w:color="auto"/>
                <w:left w:val="none" w:sz="0" w:space="0" w:color="auto"/>
                <w:bottom w:val="none" w:sz="0" w:space="0" w:color="auto"/>
                <w:right w:val="none" w:sz="0" w:space="0" w:color="auto"/>
              </w:divBdr>
            </w:div>
            <w:div w:id="115026151">
              <w:marLeft w:val="0"/>
              <w:marRight w:val="0"/>
              <w:marTop w:val="0"/>
              <w:marBottom w:val="0"/>
              <w:divBdr>
                <w:top w:val="none" w:sz="0" w:space="0" w:color="auto"/>
                <w:left w:val="none" w:sz="0" w:space="0" w:color="auto"/>
                <w:bottom w:val="none" w:sz="0" w:space="0" w:color="auto"/>
                <w:right w:val="none" w:sz="0" w:space="0" w:color="auto"/>
              </w:divBdr>
            </w:div>
            <w:div w:id="659311181">
              <w:marLeft w:val="0"/>
              <w:marRight w:val="0"/>
              <w:marTop w:val="0"/>
              <w:marBottom w:val="0"/>
              <w:divBdr>
                <w:top w:val="none" w:sz="0" w:space="0" w:color="auto"/>
                <w:left w:val="none" w:sz="0" w:space="0" w:color="auto"/>
                <w:bottom w:val="none" w:sz="0" w:space="0" w:color="auto"/>
                <w:right w:val="none" w:sz="0" w:space="0" w:color="auto"/>
              </w:divBdr>
            </w:div>
            <w:div w:id="446389512">
              <w:marLeft w:val="0"/>
              <w:marRight w:val="0"/>
              <w:marTop w:val="0"/>
              <w:marBottom w:val="0"/>
              <w:divBdr>
                <w:top w:val="none" w:sz="0" w:space="0" w:color="auto"/>
                <w:left w:val="none" w:sz="0" w:space="0" w:color="auto"/>
                <w:bottom w:val="none" w:sz="0" w:space="0" w:color="auto"/>
                <w:right w:val="none" w:sz="0" w:space="0" w:color="auto"/>
              </w:divBdr>
            </w:div>
          </w:divsChild>
        </w:div>
        <w:div w:id="1219173860">
          <w:marLeft w:val="0"/>
          <w:marRight w:val="0"/>
          <w:marTop w:val="0"/>
          <w:marBottom w:val="0"/>
          <w:divBdr>
            <w:top w:val="none" w:sz="0" w:space="0" w:color="auto"/>
            <w:left w:val="none" w:sz="0" w:space="0" w:color="auto"/>
            <w:bottom w:val="none" w:sz="0" w:space="0" w:color="auto"/>
            <w:right w:val="none" w:sz="0" w:space="0" w:color="auto"/>
          </w:divBdr>
          <w:divsChild>
            <w:div w:id="1628848729">
              <w:marLeft w:val="0"/>
              <w:marRight w:val="0"/>
              <w:marTop w:val="0"/>
              <w:marBottom w:val="0"/>
              <w:divBdr>
                <w:top w:val="none" w:sz="0" w:space="0" w:color="auto"/>
                <w:left w:val="none" w:sz="0" w:space="0" w:color="auto"/>
                <w:bottom w:val="none" w:sz="0" w:space="0" w:color="auto"/>
                <w:right w:val="none" w:sz="0" w:space="0" w:color="auto"/>
              </w:divBdr>
            </w:div>
            <w:div w:id="1739204222">
              <w:marLeft w:val="0"/>
              <w:marRight w:val="0"/>
              <w:marTop w:val="0"/>
              <w:marBottom w:val="0"/>
              <w:divBdr>
                <w:top w:val="none" w:sz="0" w:space="0" w:color="auto"/>
                <w:left w:val="none" w:sz="0" w:space="0" w:color="auto"/>
                <w:bottom w:val="none" w:sz="0" w:space="0" w:color="auto"/>
                <w:right w:val="none" w:sz="0" w:space="0" w:color="auto"/>
              </w:divBdr>
            </w:div>
            <w:div w:id="13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407">
      <w:bodyDiv w:val="1"/>
      <w:marLeft w:val="0"/>
      <w:marRight w:val="0"/>
      <w:marTop w:val="0"/>
      <w:marBottom w:val="0"/>
      <w:divBdr>
        <w:top w:val="none" w:sz="0" w:space="0" w:color="auto"/>
        <w:left w:val="none" w:sz="0" w:space="0" w:color="auto"/>
        <w:bottom w:val="none" w:sz="0" w:space="0" w:color="auto"/>
        <w:right w:val="none" w:sz="0" w:space="0" w:color="auto"/>
      </w:divBdr>
      <w:divsChild>
        <w:div w:id="553934099">
          <w:marLeft w:val="0"/>
          <w:marRight w:val="0"/>
          <w:marTop w:val="0"/>
          <w:marBottom w:val="0"/>
          <w:divBdr>
            <w:top w:val="none" w:sz="0" w:space="0" w:color="auto"/>
            <w:left w:val="none" w:sz="0" w:space="0" w:color="auto"/>
            <w:bottom w:val="none" w:sz="0" w:space="0" w:color="auto"/>
            <w:right w:val="none" w:sz="0" w:space="0" w:color="auto"/>
          </w:divBdr>
        </w:div>
        <w:div w:id="1078788167">
          <w:marLeft w:val="0"/>
          <w:marRight w:val="0"/>
          <w:marTop w:val="0"/>
          <w:marBottom w:val="0"/>
          <w:divBdr>
            <w:top w:val="none" w:sz="0" w:space="0" w:color="auto"/>
            <w:left w:val="none" w:sz="0" w:space="0" w:color="auto"/>
            <w:bottom w:val="none" w:sz="0" w:space="0" w:color="auto"/>
            <w:right w:val="none" w:sz="0" w:space="0" w:color="auto"/>
          </w:divBdr>
        </w:div>
        <w:div w:id="947279585">
          <w:marLeft w:val="0"/>
          <w:marRight w:val="0"/>
          <w:marTop w:val="0"/>
          <w:marBottom w:val="0"/>
          <w:divBdr>
            <w:top w:val="none" w:sz="0" w:space="0" w:color="auto"/>
            <w:left w:val="none" w:sz="0" w:space="0" w:color="auto"/>
            <w:bottom w:val="none" w:sz="0" w:space="0" w:color="auto"/>
            <w:right w:val="none" w:sz="0" w:space="0" w:color="auto"/>
          </w:divBdr>
        </w:div>
        <w:div w:id="205409843">
          <w:marLeft w:val="0"/>
          <w:marRight w:val="0"/>
          <w:marTop w:val="0"/>
          <w:marBottom w:val="0"/>
          <w:divBdr>
            <w:top w:val="none" w:sz="0" w:space="0" w:color="auto"/>
            <w:left w:val="none" w:sz="0" w:space="0" w:color="auto"/>
            <w:bottom w:val="none" w:sz="0" w:space="0" w:color="auto"/>
            <w:right w:val="none" w:sz="0" w:space="0" w:color="auto"/>
          </w:divBdr>
        </w:div>
        <w:div w:id="508955813">
          <w:marLeft w:val="0"/>
          <w:marRight w:val="0"/>
          <w:marTop w:val="0"/>
          <w:marBottom w:val="0"/>
          <w:divBdr>
            <w:top w:val="none" w:sz="0" w:space="0" w:color="auto"/>
            <w:left w:val="none" w:sz="0" w:space="0" w:color="auto"/>
            <w:bottom w:val="none" w:sz="0" w:space="0" w:color="auto"/>
            <w:right w:val="none" w:sz="0" w:space="0" w:color="auto"/>
          </w:divBdr>
        </w:div>
        <w:div w:id="816072886">
          <w:marLeft w:val="0"/>
          <w:marRight w:val="0"/>
          <w:marTop w:val="0"/>
          <w:marBottom w:val="0"/>
          <w:divBdr>
            <w:top w:val="none" w:sz="0" w:space="0" w:color="auto"/>
            <w:left w:val="none" w:sz="0" w:space="0" w:color="auto"/>
            <w:bottom w:val="none" w:sz="0" w:space="0" w:color="auto"/>
            <w:right w:val="none" w:sz="0" w:space="0" w:color="auto"/>
          </w:divBdr>
        </w:div>
        <w:div w:id="2097943538">
          <w:marLeft w:val="0"/>
          <w:marRight w:val="0"/>
          <w:marTop w:val="0"/>
          <w:marBottom w:val="0"/>
          <w:divBdr>
            <w:top w:val="none" w:sz="0" w:space="0" w:color="auto"/>
            <w:left w:val="none" w:sz="0" w:space="0" w:color="auto"/>
            <w:bottom w:val="none" w:sz="0" w:space="0" w:color="auto"/>
            <w:right w:val="none" w:sz="0" w:space="0" w:color="auto"/>
          </w:divBdr>
        </w:div>
        <w:div w:id="989018347">
          <w:marLeft w:val="0"/>
          <w:marRight w:val="0"/>
          <w:marTop w:val="0"/>
          <w:marBottom w:val="0"/>
          <w:divBdr>
            <w:top w:val="none" w:sz="0" w:space="0" w:color="auto"/>
            <w:left w:val="none" w:sz="0" w:space="0" w:color="auto"/>
            <w:bottom w:val="none" w:sz="0" w:space="0" w:color="auto"/>
            <w:right w:val="none" w:sz="0" w:space="0" w:color="auto"/>
          </w:divBdr>
        </w:div>
      </w:divsChild>
    </w:div>
    <w:div w:id="1339962327">
      <w:bodyDiv w:val="1"/>
      <w:marLeft w:val="0"/>
      <w:marRight w:val="0"/>
      <w:marTop w:val="0"/>
      <w:marBottom w:val="0"/>
      <w:divBdr>
        <w:top w:val="none" w:sz="0" w:space="0" w:color="auto"/>
        <w:left w:val="none" w:sz="0" w:space="0" w:color="auto"/>
        <w:bottom w:val="none" w:sz="0" w:space="0" w:color="auto"/>
        <w:right w:val="none" w:sz="0" w:space="0" w:color="auto"/>
      </w:divBdr>
    </w:div>
    <w:div w:id="1447625267">
      <w:bodyDiv w:val="1"/>
      <w:marLeft w:val="0"/>
      <w:marRight w:val="0"/>
      <w:marTop w:val="0"/>
      <w:marBottom w:val="0"/>
      <w:divBdr>
        <w:top w:val="none" w:sz="0" w:space="0" w:color="auto"/>
        <w:left w:val="none" w:sz="0" w:space="0" w:color="auto"/>
        <w:bottom w:val="none" w:sz="0" w:space="0" w:color="auto"/>
        <w:right w:val="none" w:sz="0" w:space="0" w:color="auto"/>
      </w:divBdr>
      <w:divsChild>
        <w:div w:id="190068949">
          <w:marLeft w:val="0"/>
          <w:marRight w:val="0"/>
          <w:marTop w:val="0"/>
          <w:marBottom w:val="0"/>
          <w:divBdr>
            <w:top w:val="none" w:sz="0" w:space="0" w:color="auto"/>
            <w:left w:val="none" w:sz="0" w:space="0" w:color="auto"/>
            <w:bottom w:val="none" w:sz="0" w:space="0" w:color="auto"/>
            <w:right w:val="none" w:sz="0" w:space="0" w:color="auto"/>
          </w:divBdr>
        </w:div>
        <w:div w:id="1336376786">
          <w:marLeft w:val="0"/>
          <w:marRight w:val="0"/>
          <w:marTop w:val="0"/>
          <w:marBottom w:val="0"/>
          <w:divBdr>
            <w:top w:val="none" w:sz="0" w:space="0" w:color="auto"/>
            <w:left w:val="none" w:sz="0" w:space="0" w:color="auto"/>
            <w:bottom w:val="none" w:sz="0" w:space="0" w:color="auto"/>
            <w:right w:val="none" w:sz="0" w:space="0" w:color="auto"/>
          </w:divBdr>
        </w:div>
        <w:div w:id="471991843">
          <w:marLeft w:val="0"/>
          <w:marRight w:val="0"/>
          <w:marTop w:val="0"/>
          <w:marBottom w:val="0"/>
          <w:divBdr>
            <w:top w:val="none" w:sz="0" w:space="0" w:color="auto"/>
            <w:left w:val="none" w:sz="0" w:space="0" w:color="auto"/>
            <w:bottom w:val="none" w:sz="0" w:space="0" w:color="auto"/>
            <w:right w:val="none" w:sz="0" w:space="0" w:color="auto"/>
          </w:divBdr>
        </w:div>
        <w:div w:id="1871871575">
          <w:marLeft w:val="0"/>
          <w:marRight w:val="0"/>
          <w:marTop w:val="0"/>
          <w:marBottom w:val="0"/>
          <w:divBdr>
            <w:top w:val="none" w:sz="0" w:space="0" w:color="auto"/>
            <w:left w:val="none" w:sz="0" w:space="0" w:color="auto"/>
            <w:bottom w:val="none" w:sz="0" w:space="0" w:color="auto"/>
            <w:right w:val="none" w:sz="0" w:space="0" w:color="auto"/>
          </w:divBdr>
        </w:div>
        <w:div w:id="2064135680">
          <w:marLeft w:val="0"/>
          <w:marRight w:val="0"/>
          <w:marTop w:val="0"/>
          <w:marBottom w:val="0"/>
          <w:divBdr>
            <w:top w:val="none" w:sz="0" w:space="0" w:color="auto"/>
            <w:left w:val="none" w:sz="0" w:space="0" w:color="auto"/>
            <w:bottom w:val="none" w:sz="0" w:space="0" w:color="auto"/>
            <w:right w:val="none" w:sz="0" w:space="0" w:color="auto"/>
          </w:divBdr>
        </w:div>
        <w:div w:id="586697508">
          <w:marLeft w:val="0"/>
          <w:marRight w:val="0"/>
          <w:marTop w:val="0"/>
          <w:marBottom w:val="0"/>
          <w:divBdr>
            <w:top w:val="none" w:sz="0" w:space="0" w:color="auto"/>
            <w:left w:val="none" w:sz="0" w:space="0" w:color="auto"/>
            <w:bottom w:val="none" w:sz="0" w:space="0" w:color="auto"/>
            <w:right w:val="none" w:sz="0" w:space="0" w:color="auto"/>
          </w:divBdr>
        </w:div>
        <w:div w:id="1338967838">
          <w:marLeft w:val="0"/>
          <w:marRight w:val="0"/>
          <w:marTop w:val="0"/>
          <w:marBottom w:val="0"/>
          <w:divBdr>
            <w:top w:val="none" w:sz="0" w:space="0" w:color="auto"/>
            <w:left w:val="none" w:sz="0" w:space="0" w:color="auto"/>
            <w:bottom w:val="none" w:sz="0" w:space="0" w:color="auto"/>
            <w:right w:val="none" w:sz="0" w:space="0" w:color="auto"/>
          </w:divBdr>
        </w:div>
        <w:div w:id="477915554">
          <w:marLeft w:val="0"/>
          <w:marRight w:val="0"/>
          <w:marTop w:val="0"/>
          <w:marBottom w:val="0"/>
          <w:divBdr>
            <w:top w:val="none" w:sz="0" w:space="0" w:color="auto"/>
            <w:left w:val="none" w:sz="0" w:space="0" w:color="auto"/>
            <w:bottom w:val="none" w:sz="0" w:space="0" w:color="auto"/>
            <w:right w:val="none" w:sz="0" w:space="0" w:color="auto"/>
          </w:divBdr>
        </w:div>
        <w:div w:id="428358331">
          <w:marLeft w:val="0"/>
          <w:marRight w:val="0"/>
          <w:marTop w:val="0"/>
          <w:marBottom w:val="0"/>
          <w:divBdr>
            <w:top w:val="none" w:sz="0" w:space="0" w:color="auto"/>
            <w:left w:val="none" w:sz="0" w:space="0" w:color="auto"/>
            <w:bottom w:val="none" w:sz="0" w:space="0" w:color="auto"/>
            <w:right w:val="none" w:sz="0" w:space="0" w:color="auto"/>
          </w:divBdr>
        </w:div>
        <w:div w:id="523514615">
          <w:marLeft w:val="0"/>
          <w:marRight w:val="0"/>
          <w:marTop w:val="0"/>
          <w:marBottom w:val="0"/>
          <w:divBdr>
            <w:top w:val="none" w:sz="0" w:space="0" w:color="auto"/>
            <w:left w:val="none" w:sz="0" w:space="0" w:color="auto"/>
            <w:bottom w:val="none" w:sz="0" w:space="0" w:color="auto"/>
            <w:right w:val="none" w:sz="0" w:space="0" w:color="auto"/>
          </w:divBdr>
        </w:div>
      </w:divsChild>
    </w:div>
    <w:div w:id="1796604501">
      <w:bodyDiv w:val="1"/>
      <w:marLeft w:val="0"/>
      <w:marRight w:val="0"/>
      <w:marTop w:val="0"/>
      <w:marBottom w:val="0"/>
      <w:divBdr>
        <w:top w:val="none" w:sz="0" w:space="0" w:color="auto"/>
        <w:left w:val="none" w:sz="0" w:space="0" w:color="auto"/>
        <w:bottom w:val="none" w:sz="0" w:space="0" w:color="auto"/>
        <w:right w:val="none" w:sz="0" w:space="0" w:color="auto"/>
      </w:divBdr>
    </w:div>
    <w:div w:id="1797528571">
      <w:bodyDiv w:val="1"/>
      <w:marLeft w:val="0"/>
      <w:marRight w:val="0"/>
      <w:marTop w:val="0"/>
      <w:marBottom w:val="0"/>
      <w:divBdr>
        <w:top w:val="none" w:sz="0" w:space="0" w:color="auto"/>
        <w:left w:val="none" w:sz="0" w:space="0" w:color="auto"/>
        <w:bottom w:val="none" w:sz="0" w:space="0" w:color="auto"/>
        <w:right w:val="none" w:sz="0" w:space="0" w:color="auto"/>
      </w:divBdr>
    </w:div>
    <w:div w:id="2001807218">
      <w:bodyDiv w:val="1"/>
      <w:marLeft w:val="0"/>
      <w:marRight w:val="0"/>
      <w:marTop w:val="0"/>
      <w:marBottom w:val="0"/>
      <w:divBdr>
        <w:top w:val="none" w:sz="0" w:space="0" w:color="auto"/>
        <w:left w:val="none" w:sz="0" w:space="0" w:color="auto"/>
        <w:bottom w:val="none" w:sz="0" w:space="0" w:color="auto"/>
        <w:right w:val="none" w:sz="0" w:space="0" w:color="auto"/>
      </w:divBdr>
    </w:div>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 w:id="2146656292">
      <w:bodyDiv w:val="1"/>
      <w:marLeft w:val="0"/>
      <w:marRight w:val="0"/>
      <w:marTop w:val="0"/>
      <w:marBottom w:val="0"/>
      <w:divBdr>
        <w:top w:val="none" w:sz="0" w:space="0" w:color="auto"/>
        <w:left w:val="none" w:sz="0" w:space="0" w:color="auto"/>
        <w:bottom w:val="none" w:sz="0" w:space="0" w:color="auto"/>
        <w:right w:val="none" w:sz="0" w:space="0" w:color="auto"/>
      </w:divBdr>
      <w:divsChild>
        <w:div w:id="1350523844">
          <w:marLeft w:val="0"/>
          <w:marRight w:val="0"/>
          <w:marTop w:val="0"/>
          <w:marBottom w:val="0"/>
          <w:divBdr>
            <w:top w:val="none" w:sz="0" w:space="0" w:color="auto"/>
            <w:left w:val="none" w:sz="0" w:space="0" w:color="auto"/>
            <w:bottom w:val="none" w:sz="0" w:space="0" w:color="auto"/>
            <w:right w:val="none" w:sz="0" w:space="0" w:color="auto"/>
          </w:divBdr>
        </w:div>
        <w:div w:id="559555503">
          <w:marLeft w:val="0"/>
          <w:marRight w:val="0"/>
          <w:marTop w:val="0"/>
          <w:marBottom w:val="0"/>
          <w:divBdr>
            <w:top w:val="none" w:sz="0" w:space="0" w:color="auto"/>
            <w:left w:val="none" w:sz="0" w:space="0" w:color="auto"/>
            <w:bottom w:val="none" w:sz="0" w:space="0" w:color="auto"/>
            <w:right w:val="none" w:sz="0" w:space="0" w:color="auto"/>
          </w:divBdr>
        </w:div>
        <w:div w:id="1956792006">
          <w:marLeft w:val="0"/>
          <w:marRight w:val="0"/>
          <w:marTop w:val="0"/>
          <w:marBottom w:val="0"/>
          <w:divBdr>
            <w:top w:val="none" w:sz="0" w:space="0" w:color="auto"/>
            <w:left w:val="none" w:sz="0" w:space="0" w:color="auto"/>
            <w:bottom w:val="none" w:sz="0" w:space="0" w:color="auto"/>
            <w:right w:val="none" w:sz="0" w:space="0" w:color="auto"/>
          </w:divBdr>
        </w:div>
        <w:div w:id="745801793">
          <w:marLeft w:val="0"/>
          <w:marRight w:val="0"/>
          <w:marTop w:val="0"/>
          <w:marBottom w:val="0"/>
          <w:divBdr>
            <w:top w:val="none" w:sz="0" w:space="0" w:color="auto"/>
            <w:left w:val="none" w:sz="0" w:space="0" w:color="auto"/>
            <w:bottom w:val="none" w:sz="0" w:space="0" w:color="auto"/>
            <w:right w:val="none" w:sz="0" w:space="0" w:color="auto"/>
          </w:divBdr>
        </w:div>
        <w:div w:id="623461775">
          <w:marLeft w:val="0"/>
          <w:marRight w:val="0"/>
          <w:marTop w:val="0"/>
          <w:marBottom w:val="0"/>
          <w:divBdr>
            <w:top w:val="none" w:sz="0" w:space="0" w:color="auto"/>
            <w:left w:val="none" w:sz="0" w:space="0" w:color="auto"/>
            <w:bottom w:val="none" w:sz="0" w:space="0" w:color="auto"/>
            <w:right w:val="none" w:sz="0" w:space="0" w:color="auto"/>
          </w:divBdr>
        </w:div>
        <w:div w:id="222839784">
          <w:marLeft w:val="0"/>
          <w:marRight w:val="0"/>
          <w:marTop w:val="0"/>
          <w:marBottom w:val="0"/>
          <w:divBdr>
            <w:top w:val="none" w:sz="0" w:space="0" w:color="auto"/>
            <w:left w:val="none" w:sz="0" w:space="0" w:color="auto"/>
            <w:bottom w:val="none" w:sz="0" w:space="0" w:color="auto"/>
            <w:right w:val="none" w:sz="0" w:space="0" w:color="auto"/>
          </w:divBdr>
        </w:div>
        <w:div w:id="755444187">
          <w:marLeft w:val="0"/>
          <w:marRight w:val="0"/>
          <w:marTop w:val="0"/>
          <w:marBottom w:val="0"/>
          <w:divBdr>
            <w:top w:val="none" w:sz="0" w:space="0" w:color="auto"/>
            <w:left w:val="none" w:sz="0" w:space="0" w:color="auto"/>
            <w:bottom w:val="none" w:sz="0" w:space="0" w:color="auto"/>
            <w:right w:val="none" w:sz="0" w:space="0" w:color="auto"/>
          </w:divBdr>
        </w:div>
        <w:div w:id="1258051459">
          <w:marLeft w:val="0"/>
          <w:marRight w:val="0"/>
          <w:marTop w:val="0"/>
          <w:marBottom w:val="0"/>
          <w:divBdr>
            <w:top w:val="none" w:sz="0" w:space="0" w:color="auto"/>
            <w:left w:val="none" w:sz="0" w:space="0" w:color="auto"/>
            <w:bottom w:val="none" w:sz="0" w:space="0" w:color="auto"/>
            <w:right w:val="none" w:sz="0" w:space="0" w:color="auto"/>
          </w:divBdr>
        </w:div>
        <w:div w:id="1708410673">
          <w:marLeft w:val="0"/>
          <w:marRight w:val="0"/>
          <w:marTop w:val="0"/>
          <w:marBottom w:val="0"/>
          <w:divBdr>
            <w:top w:val="none" w:sz="0" w:space="0" w:color="auto"/>
            <w:left w:val="none" w:sz="0" w:space="0" w:color="auto"/>
            <w:bottom w:val="none" w:sz="0" w:space="0" w:color="auto"/>
            <w:right w:val="none" w:sz="0" w:space="0" w:color="auto"/>
          </w:divBdr>
        </w:div>
        <w:div w:id="788473097">
          <w:marLeft w:val="0"/>
          <w:marRight w:val="0"/>
          <w:marTop w:val="0"/>
          <w:marBottom w:val="0"/>
          <w:divBdr>
            <w:top w:val="none" w:sz="0" w:space="0" w:color="auto"/>
            <w:left w:val="none" w:sz="0" w:space="0" w:color="auto"/>
            <w:bottom w:val="none" w:sz="0" w:space="0" w:color="auto"/>
            <w:right w:val="none" w:sz="0" w:space="0" w:color="auto"/>
          </w:divBdr>
        </w:div>
        <w:div w:id="1862430834">
          <w:marLeft w:val="0"/>
          <w:marRight w:val="0"/>
          <w:marTop w:val="0"/>
          <w:marBottom w:val="0"/>
          <w:divBdr>
            <w:top w:val="none" w:sz="0" w:space="0" w:color="auto"/>
            <w:left w:val="none" w:sz="0" w:space="0" w:color="auto"/>
            <w:bottom w:val="none" w:sz="0" w:space="0" w:color="auto"/>
            <w:right w:val="none" w:sz="0" w:space="0" w:color="auto"/>
          </w:divBdr>
        </w:div>
        <w:div w:id="1927154509">
          <w:marLeft w:val="0"/>
          <w:marRight w:val="0"/>
          <w:marTop w:val="0"/>
          <w:marBottom w:val="0"/>
          <w:divBdr>
            <w:top w:val="none" w:sz="0" w:space="0" w:color="auto"/>
            <w:left w:val="none" w:sz="0" w:space="0" w:color="auto"/>
            <w:bottom w:val="none" w:sz="0" w:space="0" w:color="auto"/>
            <w:right w:val="none" w:sz="0" w:space="0" w:color="auto"/>
          </w:divBdr>
        </w:div>
        <w:div w:id="602886885">
          <w:marLeft w:val="0"/>
          <w:marRight w:val="0"/>
          <w:marTop w:val="0"/>
          <w:marBottom w:val="0"/>
          <w:divBdr>
            <w:top w:val="none" w:sz="0" w:space="0" w:color="auto"/>
            <w:left w:val="none" w:sz="0" w:space="0" w:color="auto"/>
            <w:bottom w:val="none" w:sz="0" w:space="0" w:color="auto"/>
            <w:right w:val="none" w:sz="0" w:space="0" w:color="auto"/>
          </w:divBdr>
        </w:div>
        <w:div w:id="684982832">
          <w:marLeft w:val="0"/>
          <w:marRight w:val="0"/>
          <w:marTop w:val="0"/>
          <w:marBottom w:val="0"/>
          <w:divBdr>
            <w:top w:val="none" w:sz="0" w:space="0" w:color="auto"/>
            <w:left w:val="none" w:sz="0" w:space="0" w:color="auto"/>
            <w:bottom w:val="none" w:sz="0" w:space="0" w:color="auto"/>
            <w:right w:val="none" w:sz="0" w:space="0" w:color="auto"/>
          </w:divBdr>
        </w:div>
        <w:div w:id="2099012467">
          <w:marLeft w:val="0"/>
          <w:marRight w:val="0"/>
          <w:marTop w:val="0"/>
          <w:marBottom w:val="0"/>
          <w:divBdr>
            <w:top w:val="none" w:sz="0" w:space="0" w:color="auto"/>
            <w:left w:val="none" w:sz="0" w:space="0" w:color="auto"/>
            <w:bottom w:val="none" w:sz="0" w:space="0" w:color="auto"/>
            <w:right w:val="none" w:sz="0" w:space="0" w:color="auto"/>
          </w:divBdr>
        </w:div>
        <w:div w:id="1751541734">
          <w:marLeft w:val="0"/>
          <w:marRight w:val="0"/>
          <w:marTop w:val="0"/>
          <w:marBottom w:val="0"/>
          <w:divBdr>
            <w:top w:val="none" w:sz="0" w:space="0" w:color="auto"/>
            <w:left w:val="none" w:sz="0" w:space="0" w:color="auto"/>
            <w:bottom w:val="none" w:sz="0" w:space="0" w:color="auto"/>
            <w:right w:val="none" w:sz="0" w:space="0" w:color="auto"/>
          </w:divBdr>
        </w:div>
        <w:div w:id="2076706356">
          <w:marLeft w:val="0"/>
          <w:marRight w:val="0"/>
          <w:marTop w:val="0"/>
          <w:marBottom w:val="0"/>
          <w:divBdr>
            <w:top w:val="none" w:sz="0" w:space="0" w:color="auto"/>
            <w:left w:val="none" w:sz="0" w:space="0" w:color="auto"/>
            <w:bottom w:val="none" w:sz="0" w:space="0" w:color="auto"/>
            <w:right w:val="none" w:sz="0" w:space="0" w:color="auto"/>
          </w:divBdr>
        </w:div>
        <w:div w:id="87430167">
          <w:marLeft w:val="0"/>
          <w:marRight w:val="0"/>
          <w:marTop w:val="0"/>
          <w:marBottom w:val="0"/>
          <w:divBdr>
            <w:top w:val="none" w:sz="0" w:space="0" w:color="auto"/>
            <w:left w:val="none" w:sz="0" w:space="0" w:color="auto"/>
            <w:bottom w:val="none" w:sz="0" w:space="0" w:color="auto"/>
            <w:right w:val="none" w:sz="0" w:space="0" w:color="auto"/>
          </w:divBdr>
        </w:div>
        <w:div w:id="1431587641">
          <w:marLeft w:val="0"/>
          <w:marRight w:val="0"/>
          <w:marTop w:val="0"/>
          <w:marBottom w:val="0"/>
          <w:divBdr>
            <w:top w:val="none" w:sz="0" w:space="0" w:color="auto"/>
            <w:left w:val="none" w:sz="0" w:space="0" w:color="auto"/>
            <w:bottom w:val="none" w:sz="0" w:space="0" w:color="auto"/>
            <w:right w:val="none" w:sz="0" w:space="0" w:color="auto"/>
          </w:divBdr>
        </w:div>
        <w:div w:id="1957171202">
          <w:marLeft w:val="0"/>
          <w:marRight w:val="0"/>
          <w:marTop w:val="0"/>
          <w:marBottom w:val="0"/>
          <w:divBdr>
            <w:top w:val="none" w:sz="0" w:space="0" w:color="auto"/>
            <w:left w:val="none" w:sz="0" w:space="0" w:color="auto"/>
            <w:bottom w:val="none" w:sz="0" w:space="0" w:color="auto"/>
            <w:right w:val="none" w:sz="0" w:space="0" w:color="auto"/>
          </w:divBdr>
        </w:div>
        <w:div w:id="418138530">
          <w:marLeft w:val="0"/>
          <w:marRight w:val="0"/>
          <w:marTop w:val="0"/>
          <w:marBottom w:val="0"/>
          <w:divBdr>
            <w:top w:val="none" w:sz="0" w:space="0" w:color="auto"/>
            <w:left w:val="none" w:sz="0" w:space="0" w:color="auto"/>
            <w:bottom w:val="none" w:sz="0" w:space="0" w:color="auto"/>
            <w:right w:val="none" w:sz="0" w:space="0" w:color="auto"/>
          </w:divBdr>
        </w:div>
        <w:div w:id="1489518137">
          <w:marLeft w:val="0"/>
          <w:marRight w:val="0"/>
          <w:marTop w:val="0"/>
          <w:marBottom w:val="0"/>
          <w:divBdr>
            <w:top w:val="none" w:sz="0" w:space="0" w:color="auto"/>
            <w:left w:val="none" w:sz="0" w:space="0" w:color="auto"/>
            <w:bottom w:val="none" w:sz="0" w:space="0" w:color="auto"/>
            <w:right w:val="none" w:sz="0" w:space="0" w:color="auto"/>
          </w:divBdr>
        </w:div>
        <w:div w:id="774788284">
          <w:marLeft w:val="0"/>
          <w:marRight w:val="0"/>
          <w:marTop w:val="0"/>
          <w:marBottom w:val="0"/>
          <w:divBdr>
            <w:top w:val="none" w:sz="0" w:space="0" w:color="auto"/>
            <w:left w:val="none" w:sz="0" w:space="0" w:color="auto"/>
            <w:bottom w:val="none" w:sz="0" w:space="0" w:color="auto"/>
            <w:right w:val="none" w:sz="0" w:space="0" w:color="auto"/>
          </w:divBdr>
        </w:div>
        <w:div w:id="1329937879">
          <w:marLeft w:val="0"/>
          <w:marRight w:val="0"/>
          <w:marTop w:val="0"/>
          <w:marBottom w:val="0"/>
          <w:divBdr>
            <w:top w:val="none" w:sz="0" w:space="0" w:color="auto"/>
            <w:left w:val="none" w:sz="0" w:space="0" w:color="auto"/>
            <w:bottom w:val="none" w:sz="0" w:space="0" w:color="auto"/>
            <w:right w:val="none" w:sz="0" w:space="0" w:color="auto"/>
          </w:divBdr>
        </w:div>
        <w:div w:id="161551852">
          <w:marLeft w:val="0"/>
          <w:marRight w:val="0"/>
          <w:marTop w:val="0"/>
          <w:marBottom w:val="0"/>
          <w:divBdr>
            <w:top w:val="none" w:sz="0" w:space="0" w:color="auto"/>
            <w:left w:val="none" w:sz="0" w:space="0" w:color="auto"/>
            <w:bottom w:val="none" w:sz="0" w:space="0" w:color="auto"/>
            <w:right w:val="none" w:sz="0" w:space="0" w:color="auto"/>
          </w:divBdr>
        </w:div>
        <w:div w:id="2060736937">
          <w:marLeft w:val="0"/>
          <w:marRight w:val="0"/>
          <w:marTop w:val="0"/>
          <w:marBottom w:val="0"/>
          <w:divBdr>
            <w:top w:val="none" w:sz="0" w:space="0" w:color="auto"/>
            <w:left w:val="none" w:sz="0" w:space="0" w:color="auto"/>
            <w:bottom w:val="none" w:sz="0" w:space="0" w:color="auto"/>
            <w:right w:val="none" w:sz="0" w:space="0" w:color="auto"/>
          </w:divBdr>
        </w:div>
        <w:div w:id="1514026304">
          <w:marLeft w:val="0"/>
          <w:marRight w:val="0"/>
          <w:marTop w:val="0"/>
          <w:marBottom w:val="0"/>
          <w:divBdr>
            <w:top w:val="none" w:sz="0" w:space="0" w:color="auto"/>
            <w:left w:val="none" w:sz="0" w:space="0" w:color="auto"/>
            <w:bottom w:val="none" w:sz="0" w:space="0" w:color="auto"/>
            <w:right w:val="none" w:sz="0" w:space="0" w:color="auto"/>
          </w:divBdr>
        </w:div>
        <w:div w:id="24447177">
          <w:marLeft w:val="0"/>
          <w:marRight w:val="0"/>
          <w:marTop w:val="0"/>
          <w:marBottom w:val="0"/>
          <w:divBdr>
            <w:top w:val="none" w:sz="0" w:space="0" w:color="auto"/>
            <w:left w:val="none" w:sz="0" w:space="0" w:color="auto"/>
            <w:bottom w:val="none" w:sz="0" w:space="0" w:color="auto"/>
            <w:right w:val="none" w:sz="0" w:space="0" w:color="auto"/>
          </w:divBdr>
        </w:div>
        <w:div w:id="56232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cz/cpi2020" TargetMode="External"/><Relationship Id="rId13" Type="http://schemas.openxmlformats.org/officeDocument/2006/relationships/hyperlink" Target="https://www.transparency.cz/lide-v-transparency/milan-eibl/" TargetMode="External"/><Relationship Id="rId18" Type="http://schemas.openxmlformats.org/officeDocument/2006/relationships/hyperlink" Target="https://www.coe.int/en/web/greco/evaluations/czech-republic" TargetMode="External"/><Relationship Id="rId26" Type="http://schemas.openxmlformats.org/officeDocument/2006/relationships/hyperlink" Target="https://www.transparency.cz/wp-content/uploads/2021/01/2020_CPI_FAQs_E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ransparency.cz/wp-content/uploads/2021/01/CPI_2020_cover.png" TargetMode="External"/><Relationship Id="rId34" Type="http://schemas.openxmlformats.org/officeDocument/2006/relationships/hyperlink" Target="http://www.transparency.cz"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ransparency.cz/lide-v-transparency/david-kotora/" TargetMode="External"/><Relationship Id="rId17" Type="http://schemas.openxmlformats.org/officeDocument/2006/relationships/hyperlink" Target="https://www.linkedin.com/in/helena-horsk%C3%A1-16242aa7/?originalSubdomain=cz" TargetMode="External"/><Relationship Id="rId25" Type="http://schemas.openxmlformats.org/officeDocument/2006/relationships/hyperlink" Target="https://www.transparency.cz/wp-content/uploads/2021/01/CPI2020_ShortMethodology.pdf" TargetMode="External"/><Relationship Id="rId33" Type="http://schemas.openxmlformats.org/officeDocument/2006/relationships/hyperlink" Target="mailto:kotora@transparency.cz"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ransparency.cz/lide-v-transparency/jan-dupak/" TargetMode="External"/><Relationship Id="rId20" Type="http://schemas.openxmlformats.org/officeDocument/2006/relationships/hyperlink" Target="https://www.transparency.cz/lide-v-transparency/pavel-jiricek/" TargetMode="External"/><Relationship Id="rId29" Type="http://schemas.openxmlformats.org/officeDocument/2006/relationships/hyperlink" Target="https://www.transparency.cz/wp-content/uploads/2021/01/CPI2020_SourceDescriptionEN.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cy.cz/kauzy/andrej-babis/" TargetMode="External"/><Relationship Id="rId24" Type="http://schemas.openxmlformats.org/officeDocument/2006/relationships/hyperlink" Target="https://www.transparency.cz/wp-content/uploads/2021/01/CPI2020_TechnicalMethodologyNote.pdf" TargetMode="External"/><Relationship Id="rId32" Type="http://schemas.openxmlformats.org/officeDocument/2006/relationships/hyperlink" Target="https://www.transparency.cz/lide-v-transparency/david-kotor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sipolitici.cz/detail/jan-zahradnik" TargetMode="External"/><Relationship Id="rId23" Type="http://schemas.openxmlformats.org/officeDocument/2006/relationships/hyperlink" Target="https://www.transparency.cz/wp-content/uploads/2021/01/CPI2020_Map_European-Union-1.jpg" TargetMode="External"/><Relationship Id="rId28" Type="http://schemas.openxmlformats.org/officeDocument/2006/relationships/hyperlink" Target="https://www.transparency.org/en/press/2020-corruption-perceptions-index-reveals-widespread-corruption-is-weakening-covid-19-response-threatening-global-recovery" TargetMode="External"/><Relationship Id="rId36" Type="http://schemas.openxmlformats.org/officeDocument/2006/relationships/hyperlink" Target="http://www.transparency.cz" TargetMode="External"/><Relationship Id="rId10" Type="http://schemas.openxmlformats.org/officeDocument/2006/relationships/hyperlink" Target="https://www.transparency.cz/lide-v-transparency/petr-leyer/" TargetMode="External"/><Relationship Id="rId19" Type="http://schemas.openxmlformats.org/officeDocument/2006/relationships/hyperlink" Target="https://eur-lex.europa.eu/legal-content/CS/TXT/PDF/?uri=CELEX:52020DC0580&amp;from=EN" TargetMode="External"/><Relationship Id="rId31" Type="http://schemas.openxmlformats.org/officeDocument/2006/relationships/hyperlink" Target="http://www.transparency.org/cp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sipolitici.cz/detail/antonin-stanek" TargetMode="External"/><Relationship Id="rId22" Type="http://schemas.openxmlformats.org/officeDocument/2006/relationships/hyperlink" Target="https://www.transparency.cz/wp-content/uploads/2021/01/CPI2020_Map-globalindex.jpg" TargetMode="External"/><Relationship Id="rId27" Type="http://schemas.openxmlformats.org/officeDocument/2006/relationships/hyperlink" Target="https://www.transparency.org/en/cpi/2020" TargetMode="External"/><Relationship Id="rId30" Type="http://schemas.openxmlformats.org/officeDocument/2006/relationships/hyperlink" Target="https://www.transparency.cz/wp-content/uploads/2021/01/CPI2020_Report_EN-WEB.pdf" TargetMode="External"/><Relationship Id="rId35" Type="http://schemas.openxmlformats.org/officeDocument/2006/relationships/hyperlink" Target="https://www.transparency.org/"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9611-D9FE-4A3B-8EA5-D21EF4A6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2266</Words>
  <Characters>13371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Transparency International ČR</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David Kotora</cp:lastModifiedBy>
  <cp:revision>18</cp:revision>
  <cp:lastPrinted>2020-01-22T15:01:00Z</cp:lastPrinted>
  <dcterms:created xsi:type="dcterms:W3CDTF">2021-01-20T14:34:00Z</dcterms:created>
  <dcterms:modified xsi:type="dcterms:W3CDTF">2021-01-28T07:48:00Z</dcterms:modified>
</cp:coreProperties>
</file>